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10DFC4">
      <w:pPr>
        <w:spacing w:line="360" w:lineRule="auto"/>
        <w:jc w:val="center"/>
        <w:rPr>
          <w:rFonts w:hint="eastAsia" w:ascii="宋体" w:hAnsi="宋体" w:cs="Arial"/>
          <w:b/>
          <w:color w:val="333333"/>
          <w:spacing w:val="8"/>
          <w:kern w:val="0"/>
          <w:sz w:val="28"/>
          <w:szCs w:val="28"/>
          <w:shd w:val="clear" w:color="auto" w:fill="FFFFFF"/>
        </w:rPr>
      </w:pPr>
      <w:r>
        <w:rPr>
          <w:rFonts w:hint="eastAsia" w:ascii="宋体" w:hAnsi="宋体" w:cs="Arial"/>
          <w:b/>
          <w:color w:val="333333"/>
          <w:spacing w:val="8"/>
          <w:kern w:val="0"/>
          <w:sz w:val="28"/>
          <w:szCs w:val="28"/>
          <w:shd w:val="clear" w:color="auto" w:fill="FFFFFF"/>
        </w:rPr>
        <w:t>职业病危害因素检测竞标</w:t>
      </w:r>
      <w:r>
        <w:rPr>
          <w:rFonts w:ascii="宋体" w:hAnsi="宋体" w:cs="Arial"/>
          <w:b/>
          <w:color w:val="333333"/>
          <w:spacing w:val="8"/>
          <w:kern w:val="0"/>
          <w:sz w:val="28"/>
          <w:szCs w:val="28"/>
          <w:shd w:val="clear" w:color="auto" w:fill="FFFFFF"/>
        </w:rPr>
        <w:t>公告</w:t>
      </w:r>
    </w:p>
    <w:p w14:paraId="7EF5B4F6">
      <w:pPr>
        <w:widowControl/>
        <w:shd w:val="clear" w:color="auto" w:fill="FFFFFF"/>
        <w:jc w:val="left"/>
        <w:rPr>
          <w:rFonts w:hint="eastAsia" w:ascii="宋体" w:hAnsi="宋体" w:eastAsia="宋体" w:cs="宋体"/>
          <w:b w:val="0"/>
          <w:bCs w:val="0"/>
          <w:color w:val="50505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</w:rPr>
        <w:t>竞价时间：202</w:t>
      </w:r>
      <w:r>
        <w:rPr>
          <w:rFonts w:hint="eastAsia" w:ascii="宋体" w:hAnsi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  <w:lang w:val="en-US" w:eastAsia="zh-CN"/>
        </w:rPr>
        <w:t>4</w:t>
      </w: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</w:rPr>
        <w:t>年</w:t>
      </w: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  <w:lang w:val="en-US" w:eastAsia="zh-CN"/>
        </w:rPr>
        <w:t xml:space="preserve"> </w:t>
      </w:r>
      <w:r>
        <w:rPr>
          <w:rFonts w:hint="eastAsia" w:ascii="宋体" w:hAnsi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  <w:lang w:val="en-US" w:eastAsia="zh-CN"/>
        </w:rPr>
        <w:t>4</w:t>
      </w: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</w:rPr>
        <w:t>月</w:t>
      </w:r>
      <w:r>
        <w:rPr>
          <w:rFonts w:hint="eastAsia" w:ascii="宋体" w:hAnsi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  <w:lang w:val="en-US" w:eastAsia="zh-CN"/>
        </w:rPr>
        <w:t>9</w:t>
      </w: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</w:rPr>
        <w:t>日</w:t>
      </w:r>
    </w:p>
    <w:p w14:paraId="2E967E3E">
      <w:pPr>
        <w:widowControl/>
        <w:shd w:val="clear" w:color="auto" w:fill="FFFFFF"/>
        <w:jc w:val="left"/>
        <w:rPr>
          <w:rFonts w:hint="default" w:ascii="宋体" w:hAnsi="宋体" w:eastAsia="宋体" w:cs="宋体"/>
          <w:b w:val="0"/>
          <w:bCs w:val="0"/>
          <w:color w:val="505050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</w:rPr>
        <w:t>竞价编号：</w:t>
      </w:r>
      <w:r>
        <w:rPr>
          <w:rFonts w:hint="eastAsia" w:ascii="宋体" w:hAnsi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  <w:lang w:val="en-US" w:eastAsia="zh-CN"/>
        </w:rPr>
        <w:t>LHTY-20240409-001</w:t>
      </w:r>
    </w:p>
    <w:p w14:paraId="178094C8">
      <w:pPr>
        <w:widowControl/>
        <w:shd w:val="clear" w:color="auto" w:fill="FFFFFF"/>
        <w:jc w:val="left"/>
        <w:rPr>
          <w:rFonts w:hint="eastAsia" w:ascii="宋体" w:hAnsi="宋体" w:eastAsia="宋体" w:cs="宋体"/>
          <w:b w:val="0"/>
          <w:bCs w:val="0"/>
          <w:color w:val="50505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</w:rPr>
        <w:t>竞价人：张家港联合铜业有限公司</w:t>
      </w:r>
    </w:p>
    <w:p w14:paraId="6EAC6806">
      <w:pPr>
        <w:widowControl/>
        <w:shd w:val="clear" w:color="auto" w:fill="FFFFFF"/>
        <w:jc w:val="left"/>
        <w:rPr>
          <w:rFonts w:hint="eastAsia" w:ascii="宋体" w:hAnsi="宋体" w:eastAsia="宋体" w:cs="宋体"/>
          <w:b w:val="0"/>
          <w:bCs w:val="0"/>
          <w:color w:val="50505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</w:rPr>
        <w:t>【重要声明】</w:t>
      </w:r>
    </w:p>
    <w:p w14:paraId="519F44D5">
      <w:pPr>
        <w:widowControl/>
        <w:shd w:val="clear" w:color="auto" w:fill="FFFFFF"/>
        <w:jc w:val="left"/>
        <w:rPr>
          <w:rFonts w:hint="eastAsia" w:ascii="宋体" w:hAnsi="宋体" w:eastAsia="宋体" w:cs="宋体"/>
          <w:b w:val="0"/>
          <w:bCs w:val="0"/>
          <w:color w:val="50505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</w:rPr>
        <w:t>1、公开竞价是铜陵有色集团为规范自主采购管理，推进阳光操作而采取的公开竞争性采购方式，仅适用于企业日常生产经营性物资以及不具备招标条件的部分物资、服务采购。</w:t>
      </w:r>
    </w:p>
    <w:p w14:paraId="524200D8">
      <w:pPr>
        <w:widowControl/>
        <w:shd w:val="clear" w:color="auto" w:fill="FFFFFF"/>
        <w:jc w:val="left"/>
        <w:rPr>
          <w:rFonts w:hint="eastAsia" w:ascii="宋体" w:hAnsi="宋体" w:eastAsia="宋体" w:cs="宋体"/>
          <w:b w:val="0"/>
          <w:bCs w:val="0"/>
          <w:color w:val="505050"/>
          <w:sz w:val="22"/>
          <w:szCs w:val="22"/>
        </w:rPr>
      </w:pPr>
      <w:r>
        <w:rPr>
          <w:rFonts w:hint="eastAsia" w:ascii="宋体" w:hAnsi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  <w:lang w:val="en-US" w:eastAsia="zh-CN"/>
        </w:rPr>
        <w:t>2</w:t>
      </w: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</w:rPr>
        <w:t>、中标结果仅直接通知到竞价中标人，不再另行发布中标公告。对中标结果有异议的竞价投标人可向投标受理人提出书面申请，查询原始资料和评审结果，充分尊重竞价投标人的知情权。</w:t>
      </w:r>
    </w:p>
    <w:p w14:paraId="7BD845C0">
      <w:pPr>
        <w:widowControl/>
        <w:shd w:val="clear" w:color="auto" w:fill="FFFFFF"/>
        <w:jc w:val="left"/>
        <w:rPr>
          <w:rFonts w:hint="eastAsia" w:ascii="宋体" w:hAnsi="宋体" w:eastAsia="宋体" w:cs="宋体"/>
          <w:b w:val="0"/>
          <w:bCs w:val="0"/>
          <w:color w:val="505050"/>
          <w:sz w:val="22"/>
          <w:szCs w:val="22"/>
        </w:rPr>
      </w:pPr>
      <w:r>
        <w:rPr>
          <w:rFonts w:hint="eastAsia" w:ascii="宋体" w:hAnsi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  <w:lang w:val="en-US" w:eastAsia="zh-CN"/>
        </w:rPr>
        <w:t>3</w:t>
      </w: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</w:rPr>
        <w:t>、投标人中标后应及时签订并履行合同；若违约，按《铜冠物资公司失信供应商管理处罚细则（试行）》处理。</w:t>
      </w:r>
    </w:p>
    <w:p w14:paraId="0679A174">
      <w:pPr>
        <w:widowControl/>
        <w:shd w:val="clear" w:color="auto" w:fill="FFFFFF"/>
        <w:jc w:val="left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  <w:lang w:val="en-US" w:eastAsia="zh-CN"/>
        </w:rPr>
        <w:t>4</w:t>
      </w: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</w:rPr>
        <w:t>、需要收取履约保证金的，中标人应在收到中标通知五个工作日内，按照规定交纳履约保证金。无正当理由不交纳的，将列入铜陵有色金属集团公司失信行为供应商名单，按相关规定予以处理。</w:t>
      </w:r>
    </w:p>
    <w:p w14:paraId="7DBFF65F">
      <w:pPr>
        <w:widowControl/>
        <w:shd w:val="clear" w:color="auto" w:fill="FFFFFF"/>
        <w:spacing w:line="360" w:lineRule="auto"/>
        <w:jc w:val="left"/>
        <w:rPr>
          <w:rFonts w:ascii="Arial" w:hAnsi="Arial" w:cs="Arial"/>
          <w:b/>
          <w:bCs/>
          <w:color w:val="000000"/>
          <w:kern w:val="0"/>
          <w:szCs w:val="21"/>
        </w:rPr>
      </w:pPr>
      <w:r>
        <w:rPr>
          <w:rFonts w:hint="eastAsia" w:ascii="Arial" w:hAnsi="Arial" w:cs="Arial"/>
          <w:b/>
          <w:bCs/>
          <w:color w:val="000000"/>
          <w:kern w:val="0"/>
          <w:szCs w:val="21"/>
          <w:lang w:val="en-US" w:eastAsia="zh-CN"/>
        </w:rPr>
        <w:t>一：</w:t>
      </w:r>
      <w:r>
        <w:rPr>
          <w:rFonts w:ascii="Arial" w:hAnsi="Arial" w:cs="Arial"/>
          <w:b/>
          <w:bCs/>
          <w:color w:val="000000"/>
          <w:kern w:val="0"/>
          <w:szCs w:val="21"/>
        </w:rPr>
        <w:t>竞价内容</w:t>
      </w:r>
    </w:p>
    <w:p w14:paraId="5251EFB6">
      <w:pPr>
        <w:widowControl/>
        <w:shd w:val="clear" w:color="auto" w:fill="FFFFFF"/>
        <w:spacing w:line="360" w:lineRule="auto"/>
        <w:ind w:firstLine="240"/>
        <w:jc w:val="left"/>
        <w:rPr>
          <w:rFonts w:hint="eastAsia" w:ascii="Arial" w:hAnsi="Arial" w:cs="Arial"/>
          <w:color w:val="000000"/>
          <w:kern w:val="0"/>
          <w:szCs w:val="21"/>
        </w:rPr>
      </w:pPr>
      <w:r>
        <w:rPr>
          <w:rFonts w:ascii="Arial" w:hAnsi="Arial" w:cs="Arial"/>
          <w:color w:val="000000"/>
          <w:kern w:val="0"/>
          <w:szCs w:val="21"/>
        </w:rPr>
        <w:t>1、项目名称:</w:t>
      </w:r>
      <w:r>
        <w:rPr>
          <w:rFonts w:hint="eastAsia" w:ascii="Arial" w:hAnsi="Arial" w:cs="Arial"/>
          <w:color w:val="000000"/>
          <w:kern w:val="0"/>
          <w:szCs w:val="21"/>
        </w:rPr>
        <w:t xml:space="preserve"> 职业病危害因素检测</w:t>
      </w:r>
    </w:p>
    <w:p w14:paraId="79E5A83C">
      <w:pPr>
        <w:widowControl/>
        <w:shd w:val="clear" w:color="auto" w:fill="FFFFFF"/>
        <w:spacing w:line="360" w:lineRule="auto"/>
        <w:ind w:firstLine="240"/>
        <w:jc w:val="left"/>
        <w:rPr>
          <w:rFonts w:ascii="Arial" w:hAnsi="Arial" w:cs="Arial"/>
          <w:color w:val="000000"/>
          <w:kern w:val="0"/>
          <w:szCs w:val="21"/>
        </w:rPr>
      </w:pPr>
      <w:r>
        <w:rPr>
          <w:rFonts w:ascii="Arial" w:hAnsi="Arial" w:cs="Arial"/>
          <w:color w:val="000000"/>
          <w:kern w:val="0"/>
          <w:szCs w:val="21"/>
        </w:rPr>
        <w:t>2、招标人: 张家港联合铜业有限公司</w:t>
      </w:r>
    </w:p>
    <w:p w14:paraId="1760FE22">
      <w:pPr>
        <w:widowControl/>
        <w:shd w:val="clear" w:color="auto" w:fill="FFFFFF"/>
        <w:spacing w:line="360" w:lineRule="auto"/>
        <w:ind w:firstLine="240"/>
        <w:jc w:val="left"/>
        <w:rPr>
          <w:rFonts w:hint="eastAsia" w:ascii="Arial" w:hAnsi="Arial" w:cs="Arial"/>
          <w:color w:val="000000"/>
          <w:kern w:val="0"/>
          <w:szCs w:val="21"/>
        </w:rPr>
      </w:pPr>
      <w:r>
        <w:rPr>
          <w:rFonts w:ascii="Arial" w:hAnsi="Arial" w:cs="Arial"/>
          <w:color w:val="000000"/>
          <w:kern w:val="0"/>
          <w:szCs w:val="21"/>
        </w:rPr>
        <w:t>3、招标说明：为贯彻落实“安全第一、预防为主、综合治理”的</w:t>
      </w:r>
      <w:r>
        <w:rPr>
          <w:rFonts w:hint="eastAsia" w:ascii="Arial" w:hAnsi="Arial" w:cs="Arial"/>
          <w:color w:val="000000"/>
          <w:kern w:val="0"/>
          <w:szCs w:val="21"/>
        </w:rPr>
        <w:t>安全生产方针，</w:t>
      </w:r>
      <w:r>
        <w:rPr>
          <w:rFonts w:ascii="Arial" w:hAnsi="Arial" w:cs="Arial"/>
          <w:color w:val="000000"/>
          <w:kern w:val="0"/>
          <w:szCs w:val="21"/>
        </w:rPr>
        <w:t>确保本公</w:t>
      </w:r>
      <w:r>
        <w:rPr>
          <w:rFonts w:hint="eastAsia" w:ascii="Arial" w:hAnsi="Arial" w:cs="Arial"/>
          <w:color w:val="000000"/>
          <w:kern w:val="0"/>
          <w:szCs w:val="21"/>
        </w:rPr>
        <w:t>司职业卫生符合安全生产条件，</w:t>
      </w:r>
      <w:r>
        <w:rPr>
          <w:rFonts w:ascii="Arial" w:hAnsi="Arial" w:cs="Arial"/>
          <w:color w:val="000000"/>
          <w:kern w:val="0"/>
          <w:szCs w:val="21"/>
        </w:rPr>
        <w:t>根据《</w:t>
      </w:r>
      <w:r>
        <w:rPr>
          <w:rFonts w:hint="eastAsia" w:ascii="Arial" w:hAnsi="Arial" w:cs="Arial"/>
          <w:color w:val="000000"/>
          <w:kern w:val="0"/>
          <w:szCs w:val="21"/>
        </w:rPr>
        <w:t>职业病防治法</w:t>
      </w:r>
      <w:r>
        <w:rPr>
          <w:rFonts w:ascii="Arial" w:hAnsi="Arial" w:cs="Arial"/>
          <w:color w:val="000000"/>
          <w:kern w:val="0"/>
          <w:szCs w:val="21"/>
        </w:rPr>
        <w:t>》</w:t>
      </w:r>
      <w:r>
        <w:rPr>
          <w:rFonts w:hint="eastAsia" w:ascii="Arial" w:hAnsi="Arial" w:cs="Arial"/>
          <w:color w:val="000000"/>
          <w:kern w:val="0"/>
          <w:szCs w:val="21"/>
        </w:rPr>
        <w:t>要求，张家港联合铜业有限</w:t>
      </w:r>
      <w:r>
        <w:rPr>
          <w:rFonts w:ascii="Arial" w:hAnsi="Arial" w:cs="Arial"/>
          <w:color w:val="000000"/>
          <w:kern w:val="0"/>
          <w:szCs w:val="21"/>
        </w:rPr>
        <w:t>公司</w:t>
      </w:r>
      <w:r>
        <w:rPr>
          <w:rFonts w:hint="eastAsia" w:ascii="Arial" w:hAnsi="Arial" w:cs="Arial"/>
          <w:color w:val="000000"/>
          <w:kern w:val="0"/>
          <w:szCs w:val="21"/>
        </w:rPr>
        <w:t>需委托取得职业危害因素检测资质单位，按要求开展职业病危害因素检测。</w:t>
      </w:r>
    </w:p>
    <w:p w14:paraId="7DA56A44">
      <w:pPr>
        <w:widowControl/>
        <w:shd w:val="clear" w:color="auto" w:fill="FFFFFF"/>
        <w:spacing w:line="360" w:lineRule="auto"/>
        <w:ind w:firstLine="240"/>
        <w:jc w:val="left"/>
        <w:rPr>
          <w:rFonts w:hint="eastAsia" w:ascii="Arial" w:hAnsi="Arial" w:cs="Arial"/>
          <w:color w:val="000000"/>
          <w:kern w:val="0"/>
          <w:szCs w:val="21"/>
        </w:rPr>
      </w:pPr>
      <w:r>
        <w:rPr>
          <w:rFonts w:hint="eastAsia" w:ascii="Arial" w:hAnsi="Arial" w:cs="Arial"/>
          <w:color w:val="000000"/>
          <w:kern w:val="0"/>
          <w:szCs w:val="21"/>
          <w:lang w:val="en-US" w:eastAsia="zh-CN"/>
        </w:rPr>
        <w:t>4</w:t>
      </w:r>
      <w:r>
        <w:rPr>
          <w:rFonts w:ascii="Arial" w:hAnsi="Arial" w:cs="Arial"/>
          <w:color w:val="000000"/>
          <w:kern w:val="0"/>
          <w:szCs w:val="21"/>
        </w:rPr>
        <w:t>、</w:t>
      </w:r>
      <w:r>
        <w:rPr>
          <w:rFonts w:hint="eastAsia" w:ascii="Arial" w:hAnsi="Arial" w:cs="Arial"/>
          <w:color w:val="000000"/>
          <w:kern w:val="0"/>
          <w:szCs w:val="21"/>
        </w:rPr>
        <w:t>职业病危害因素检测：针对张家港联合铜业公司生产装置、设备设施、储存（危险废物）、运输等场所产生的职业病危害因素进行检测，并编制联合铜业公司职业病危害因素检测方案，依据职业卫生有关采样、测定等法规标准的要求，在作业现场采集样品后测定分析或直接测量，根据检测结果并编制检测报告。</w:t>
      </w:r>
    </w:p>
    <w:p w14:paraId="28DA230C">
      <w:pPr>
        <w:widowControl/>
        <w:shd w:val="clear" w:color="auto" w:fill="FFFFFF"/>
        <w:spacing w:line="360" w:lineRule="auto"/>
        <w:ind w:firstLine="240"/>
        <w:jc w:val="left"/>
        <w:rPr>
          <w:rFonts w:hint="eastAsia" w:ascii="Arial" w:hAnsi="Arial" w:cs="Arial"/>
          <w:color w:val="000000"/>
          <w:kern w:val="0"/>
          <w:szCs w:val="21"/>
        </w:rPr>
      </w:pPr>
      <w:r>
        <w:rPr>
          <w:rFonts w:hint="eastAsia" w:ascii="Arial" w:hAnsi="Arial" w:cs="Arial"/>
          <w:color w:val="000000"/>
          <w:kern w:val="0"/>
          <w:szCs w:val="21"/>
          <w:lang w:val="en-US" w:eastAsia="zh-CN"/>
        </w:rPr>
        <w:t>5</w:t>
      </w:r>
      <w:r>
        <w:rPr>
          <w:rFonts w:hint="eastAsia" w:ascii="Arial" w:hAnsi="Arial" w:cs="Arial"/>
          <w:color w:val="000000"/>
          <w:kern w:val="0"/>
          <w:szCs w:val="21"/>
        </w:rPr>
        <w:t>、职业卫生检测</w:t>
      </w:r>
      <w:r>
        <w:rPr>
          <w:rFonts w:hint="eastAsia" w:ascii="Arial" w:hAnsi="Arial" w:cs="Arial"/>
          <w:color w:val="000000"/>
          <w:kern w:val="0"/>
          <w:szCs w:val="21"/>
          <w:lang w:val="en-US" w:eastAsia="zh-CN"/>
        </w:rPr>
        <w:t>项</w:t>
      </w:r>
      <w:r>
        <w:rPr>
          <w:rFonts w:hint="eastAsia" w:ascii="Arial" w:hAnsi="Arial" w:cs="Arial"/>
          <w:color w:val="000000"/>
          <w:kern w:val="0"/>
          <w:szCs w:val="21"/>
        </w:rPr>
        <w:t>目清单：</w:t>
      </w:r>
    </w:p>
    <w:tbl>
      <w:tblPr>
        <w:tblStyle w:val="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4"/>
        <w:gridCol w:w="1894"/>
        <w:gridCol w:w="1895"/>
        <w:gridCol w:w="1895"/>
      </w:tblGrid>
      <w:tr w14:paraId="270818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1894" w:type="dxa"/>
            <w:noWrap w:val="0"/>
            <w:vAlign w:val="top"/>
          </w:tcPr>
          <w:p w14:paraId="50AFA8BF">
            <w:pPr>
              <w:widowControl/>
              <w:spacing w:line="360" w:lineRule="auto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0"/>
                <w:szCs w:val="21"/>
              </w:rPr>
              <w:t>类型</w:t>
            </w:r>
          </w:p>
        </w:tc>
        <w:tc>
          <w:tcPr>
            <w:tcW w:w="1894" w:type="dxa"/>
            <w:noWrap w:val="0"/>
            <w:vAlign w:val="top"/>
          </w:tcPr>
          <w:p w14:paraId="09FD631B">
            <w:pPr>
              <w:widowControl/>
              <w:spacing w:line="360" w:lineRule="auto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0"/>
                <w:szCs w:val="21"/>
              </w:rPr>
              <w:t>检测项目</w:t>
            </w:r>
          </w:p>
        </w:tc>
        <w:tc>
          <w:tcPr>
            <w:tcW w:w="1895" w:type="dxa"/>
            <w:noWrap w:val="0"/>
            <w:vAlign w:val="top"/>
          </w:tcPr>
          <w:p w14:paraId="5C65A0F0">
            <w:pPr>
              <w:widowControl/>
              <w:spacing w:line="360" w:lineRule="auto"/>
              <w:jc w:val="center"/>
              <w:rPr>
                <w:rFonts w:hint="default" w:ascii="Arial" w:hAnsi="Arial" w:eastAsia="宋体" w:cs="Arial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kern w:val="0"/>
                <w:szCs w:val="21"/>
              </w:rPr>
              <w:t>样品数量</w:t>
            </w:r>
            <w:r>
              <w:rPr>
                <w:rFonts w:hint="eastAsia" w:ascii="Arial" w:hAnsi="Arial" w:cs="Arial"/>
                <w:color w:val="000000"/>
                <w:kern w:val="0"/>
                <w:szCs w:val="21"/>
                <w:lang w:val="en-US" w:eastAsia="zh-CN"/>
              </w:rPr>
              <w:t>/点</w:t>
            </w:r>
          </w:p>
        </w:tc>
        <w:tc>
          <w:tcPr>
            <w:tcW w:w="1895" w:type="dxa"/>
            <w:noWrap w:val="0"/>
            <w:vAlign w:val="top"/>
          </w:tcPr>
          <w:p w14:paraId="282CEA36">
            <w:pPr>
              <w:widowControl/>
              <w:spacing w:line="360" w:lineRule="auto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0"/>
                <w:szCs w:val="21"/>
              </w:rPr>
              <w:t>点位</w:t>
            </w:r>
          </w:p>
        </w:tc>
      </w:tr>
      <w:tr w14:paraId="1265B7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1894" w:type="dxa"/>
            <w:vMerge w:val="restart"/>
            <w:noWrap w:val="0"/>
            <w:vAlign w:val="center"/>
          </w:tcPr>
          <w:p w14:paraId="55728BD8">
            <w:pPr>
              <w:widowControl/>
              <w:spacing w:line="360" w:lineRule="auto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0"/>
                <w:szCs w:val="21"/>
              </w:rPr>
              <w:t>职业病危害因素检测</w:t>
            </w:r>
          </w:p>
        </w:tc>
        <w:tc>
          <w:tcPr>
            <w:tcW w:w="1894" w:type="dxa"/>
            <w:noWrap w:val="0"/>
            <w:vAlign w:val="top"/>
          </w:tcPr>
          <w:p w14:paraId="36CE66AA">
            <w:pPr>
              <w:widowControl/>
              <w:spacing w:line="360" w:lineRule="auto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0"/>
                <w:szCs w:val="21"/>
              </w:rPr>
              <w:t>铜烟</w:t>
            </w:r>
          </w:p>
        </w:tc>
        <w:tc>
          <w:tcPr>
            <w:tcW w:w="1895" w:type="dxa"/>
            <w:noWrap w:val="0"/>
            <w:vAlign w:val="top"/>
          </w:tcPr>
          <w:p w14:paraId="35400889">
            <w:pPr>
              <w:widowControl/>
              <w:spacing w:line="360" w:lineRule="auto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895" w:type="dxa"/>
            <w:noWrap w:val="0"/>
            <w:vAlign w:val="top"/>
          </w:tcPr>
          <w:p w14:paraId="2E722779">
            <w:pPr>
              <w:widowControl/>
              <w:spacing w:line="360" w:lineRule="auto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0"/>
                <w:szCs w:val="21"/>
              </w:rPr>
              <w:t>2</w:t>
            </w:r>
          </w:p>
        </w:tc>
      </w:tr>
      <w:tr w14:paraId="3BCB27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1894" w:type="dxa"/>
            <w:vMerge w:val="continue"/>
            <w:noWrap w:val="0"/>
            <w:vAlign w:val="top"/>
          </w:tcPr>
          <w:p w14:paraId="4C2F1E52">
            <w:pPr>
              <w:widowControl/>
              <w:spacing w:line="360" w:lineRule="auto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894" w:type="dxa"/>
            <w:noWrap w:val="0"/>
            <w:vAlign w:val="top"/>
          </w:tcPr>
          <w:p w14:paraId="262A7138">
            <w:pPr>
              <w:widowControl/>
              <w:spacing w:line="360" w:lineRule="auto"/>
              <w:jc w:val="center"/>
              <w:rPr>
                <w:rFonts w:hint="default" w:ascii="Arial" w:hAnsi="Arial" w:eastAsia="宋体" w:cs="Arial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kern w:val="0"/>
                <w:szCs w:val="21"/>
                <w:lang w:val="en-US" w:eastAsia="zh-CN"/>
              </w:rPr>
              <w:t>紫外辐射</w:t>
            </w:r>
          </w:p>
        </w:tc>
        <w:tc>
          <w:tcPr>
            <w:tcW w:w="1895" w:type="dxa"/>
            <w:noWrap w:val="0"/>
            <w:vAlign w:val="top"/>
          </w:tcPr>
          <w:p w14:paraId="0B8C6254">
            <w:pPr>
              <w:widowControl/>
              <w:spacing w:line="360" w:lineRule="auto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895" w:type="dxa"/>
            <w:noWrap w:val="0"/>
            <w:vAlign w:val="top"/>
          </w:tcPr>
          <w:p w14:paraId="74E240EC">
            <w:pPr>
              <w:widowControl/>
              <w:spacing w:line="360" w:lineRule="auto"/>
              <w:jc w:val="center"/>
              <w:rPr>
                <w:rFonts w:hint="eastAsia" w:ascii="Arial" w:hAnsi="Arial" w:eastAsia="宋体" w:cs="Arial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kern w:val="0"/>
                <w:szCs w:val="21"/>
                <w:lang w:val="en-US" w:eastAsia="zh-CN"/>
              </w:rPr>
              <w:t>2</w:t>
            </w:r>
          </w:p>
        </w:tc>
      </w:tr>
      <w:tr w14:paraId="4A7538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1894" w:type="dxa"/>
            <w:vMerge w:val="continue"/>
            <w:noWrap w:val="0"/>
            <w:vAlign w:val="top"/>
          </w:tcPr>
          <w:p w14:paraId="128DB669">
            <w:pPr>
              <w:widowControl/>
              <w:spacing w:line="360" w:lineRule="auto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894" w:type="dxa"/>
            <w:noWrap w:val="0"/>
            <w:vAlign w:val="top"/>
          </w:tcPr>
          <w:p w14:paraId="4A437084">
            <w:pPr>
              <w:widowControl/>
              <w:spacing w:line="360" w:lineRule="auto"/>
              <w:jc w:val="center"/>
              <w:rPr>
                <w:rFonts w:hint="eastAsia" w:ascii="Arial" w:hAnsi="Arial" w:cs="Arial"/>
                <w:color w:val="000000"/>
                <w:kern w:val="0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0"/>
                <w:szCs w:val="21"/>
              </w:rPr>
              <w:t>电焊烟尘</w:t>
            </w:r>
          </w:p>
        </w:tc>
        <w:tc>
          <w:tcPr>
            <w:tcW w:w="1895" w:type="dxa"/>
            <w:noWrap w:val="0"/>
            <w:vAlign w:val="top"/>
          </w:tcPr>
          <w:p w14:paraId="61079322">
            <w:pPr>
              <w:widowControl/>
              <w:spacing w:line="360" w:lineRule="auto"/>
              <w:jc w:val="center"/>
              <w:rPr>
                <w:rFonts w:hint="eastAsia" w:ascii="Arial" w:hAnsi="Arial" w:eastAsia="宋体" w:cs="Arial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1895" w:type="dxa"/>
            <w:noWrap w:val="0"/>
            <w:vAlign w:val="top"/>
          </w:tcPr>
          <w:p w14:paraId="265FEE23">
            <w:pPr>
              <w:widowControl/>
              <w:spacing w:line="360" w:lineRule="auto"/>
              <w:jc w:val="center"/>
              <w:rPr>
                <w:rFonts w:hint="default" w:ascii="Arial" w:hAnsi="Arial" w:eastAsia="宋体" w:cs="Arial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kern w:val="0"/>
                <w:szCs w:val="21"/>
                <w:lang w:val="en-US" w:eastAsia="zh-CN"/>
              </w:rPr>
              <w:t>2</w:t>
            </w:r>
          </w:p>
        </w:tc>
      </w:tr>
      <w:tr w14:paraId="2A8A06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1894" w:type="dxa"/>
            <w:vMerge w:val="continue"/>
            <w:noWrap w:val="0"/>
            <w:vAlign w:val="top"/>
          </w:tcPr>
          <w:p w14:paraId="1A9EFF1E">
            <w:pPr>
              <w:widowControl/>
              <w:spacing w:line="360" w:lineRule="auto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894" w:type="dxa"/>
            <w:noWrap w:val="0"/>
            <w:vAlign w:val="top"/>
          </w:tcPr>
          <w:p w14:paraId="18713B4D">
            <w:pPr>
              <w:widowControl/>
              <w:spacing w:line="360" w:lineRule="auto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0"/>
                <w:szCs w:val="21"/>
              </w:rPr>
              <w:t>一氧化碳</w:t>
            </w:r>
          </w:p>
        </w:tc>
        <w:tc>
          <w:tcPr>
            <w:tcW w:w="1895" w:type="dxa"/>
            <w:noWrap w:val="0"/>
            <w:vAlign w:val="top"/>
          </w:tcPr>
          <w:p w14:paraId="01B21B79">
            <w:pPr>
              <w:widowControl/>
              <w:spacing w:line="360" w:lineRule="auto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895" w:type="dxa"/>
            <w:noWrap w:val="0"/>
            <w:vAlign w:val="top"/>
          </w:tcPr>
          <w:p w14:paraId="014BC128">
            <w:pPr>
              <w:widowControl/>
              <w:spacing w:line="360" w:lineRule="auto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0"/>
                <w:szCs w:val="21"/>
              </w:rPr>
              <w:t>1</w:t>
            </w:r>
          </w:p>
        </w:tc>
      </w:tr>
      <w:tr w14:paraId="34B35A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1894" w:type="dxa"/>
            <w:vMerge w:val="continue"/>
            <w:noWrap w:val="0"/>
            <w:vAlign w:val="top"/>
          </w:tcPr>
          <w:p w14:paraId="0971D4D9">
            <w:pPr>
              <w:widowControl/>
              <w:spacing w:line="360" w:lineRule="auto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894" w:type="dxa"/>
            <w:noWrap w:val="0"/>
            <w:vAlign w:val="top"/>
          </w:tcPr>
          <w:p w14:paraId="39248A35">
            <w:pPr>
              <w:widowControl/>
              <w:spacing w:line="360" w:lineRule="auto"/>
              <w:jc w:val="center"/>
              <w:rPr>
                <w:rFonts w:hint="eastAsia" w:ascii="Arial" w:hAnsi="Arial" w:cs="Arial"/>
                <w:color w:val="000000"/>
                <w:kern w:val="0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0"/>
                <w:szCs w:val="21"/>
              </w:rPr>
              <w:t>二氧化碳</w:t>
            </w:r>
          </w:p>
        </w:tc>
        <w:tc>
          <w:tcPr>
            <w:tcW w:w="1895" w:type="dxa"/>
            <w:noWrap w:val="0"/>
            <w:vAlign w:val="top"/>
          </w:tcPr>
          <w:p w14:paraId="5B72FB84">
            <w:pPr>
              <w:widowControl/>
              <w:spacing w:line="360" w:lineRule="auto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895" w:type="dxa"/>
            <w:noWrap w:val="0"/>
            <w:vAlign w:val="top"/>
          </w:tcPr>
          <w:p w14:paraId="5DADBCA9">
            <w:pPr>
              <w:widowControl/>
              <w:spacing w:line="360" w:lineRule="auto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0"/>
                <w:szCs w:val="21"/>
              </w:rPr>
              <w:t>1</w:t>
            </w:r>
          </w:p>
        </w:tc>
      </w:tr>
      <w:tr w14:paraId="6425EE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1894" w:type="dxa"/>
            <w:vMerge w:val="continue"/>
            <w:noWrap w:val="0"/>
            <w:vAlign w:val="top"/>
          </w:tcPr>
          <w:p w14:paraId="4187C01F">
            <w:pPr>
              <w:widowControl/>
              <w:spacing w:line="360" w:lineRule="auto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894" w:type="dxa"/>
            <w:noWrap w:val="0"/>
            <w:vAlign w:val="top"/>
          </w:tcPr>
          <w:p w14:paraId="793A1EB2">
            <w:pPr>
              <w:widowControl/>
              <w:spacing w:line="360" w:lineRule="auto"/>
              <w:jc w:val="center"/>
              <w:rPr>
                <w:rFonts w:hint="default" w:ascii="Arial" w:hAnsi="Arial" w:eastAsia="宋体" w:cs="Arial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kern w:val="0"/>
                <w:szCs w:val="21"/>
                <w:lang w:val="en-US" w:eastAsia="zh-CN"/>
              </w:rPr>
              <w:t>铅烟</w:t>
            </w:r>
          </w:p>
        </w:tc>
        <w:tc>
          <w:tcPr>
            <w:tcW w:w="1895" w:type="dxa"/>
            <w:noWrap w:val="0"/>
            <w:vAlign w:val="top"/>
          </w:tcPr>
          <w:p w14:paraId="33DD7F76">
            <w:pPr>
              <w:widowControl/>
              <w:spacing w:line="360" w:lineRule="auto"/>
              <w:jc w:val="center"/>
              <w:rPr>
                <w:rFonts w:hint="eastAsia" w:ascii="Arial" w:hAnsi="Arial" w:eastAsia="宋体" w:cs="Arial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1895" w:type="dxa"/>
            <w:noWrap w:val="0"/>
            <w:vAlign w:val="top"/>
          </w:tcPr>
          <w:p w14:paraId="6857ED2A">
            <w:pPr>
              <w:widowControl/>
              <w:spacing w:line="360" w:lineRule="auto"/>
              <w:jc w:val="center"/>
              <w:rPr>
                <w:rFonts w:hint="eastAsia" w:ascii="Arial" w:hAnsi="Arial" w:eastAsia="宋体" w:cs="Arial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kern w:val="0"/>
                <w:szCs w:val="21"/>
                <w:lang w:val="en-US" w:eastAsia="zh-CN"/>
              </w:rPr>
              <w:t>1</w:t>
            </w:r>
          </w:p>
        </w:tc>
      </w:tr>
      <w:tr w14:paraId="5B8A3F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1894" w:type="dxa"/>
            <w:vMerge w:val="continue"/>
            <w:noWrap w:val="0"/>
            <w:vAlign w:val="top"/>
          </w:tcPr>
          <w:p w14:paraId="1953E67F">
            <w:pPr>
              <w:widowControl/>
              <w:spacing w:line="360" w:lineRule="auto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894" w:type="dxa"/>
            <w:noWrap w:val="0"/>
            <w:vAlign w:val="top"/>
          </w:tcPr>
          <w:p w14:paraId="4E276A44">
            <w:pPr>
              <w:widowControl/>
              <w:spacing w:line="360" w:lineRule="auto"/>
              <w:jc w:val="center"/>
              <w:rPr>
                <w:rFonts w:hint="eastAsia" w:ascii="Arial" w:hAnsi="Arial" w:cs="Arial"/>
                <w:color w:val="000000"/>
                <w:kern w:val="0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0"/>
                <w:szCs w:val="21"/>
              </w:rPr>
              <w:t>煤尘</w:t>
            </w:r>
          </w:p>
        </w:tc>
        <w:tc>
          <w:tcPr>
            <w:tcW w:w="1895" w:type="dxa"/>
            <w:noWrap w:val="0"/>
            <w:vAlign w:val="top"/>
          </w:tcPr>
          <w:p w14:paraId="36F9D7F1">
            <w:pPr>
              <w:widowControl/>
              <w:spacing w:line="360" w:lineRule="auto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895" w:type="dxa"/>
            <w:noWrap w:val="0"/>
            <w:vAlign w:val="top"/>
          </w:tcPr>
          <w:p w14:paraId="378B9400">
            <w:pPr>
              <w:widowControl/>
              <w:spacing w:line="360" w:lineRule="auto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0"/>
                <w:szCs w:val="21"/>
              </w:rPr>
              <w:t>1</w:t>
            </w:r>
          </w:p>
        </w:tc>
      </w:tr>
      <w:tr w14:paraId="2A5F32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1894" w:type="dxa"/>
            <w:vMerge w:val="continue"/>
            <w:noWrap w:val="0"/>
            <w:vAlign w:val="top"/>
          </w:tcPr>
          <w:p w14:paraId="6C2096B6">
            <w:pPr>
              <w:widowControl/>
              <w:spacing w:line="360" w:lineRule="auto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894" w:type="dxa"/>
            <w:noWrap w:val="0"/>
            <w:vAlign w:val="top"/>
          </w:tcPr>
          <w:p w14:paraId="0A32CA49">
            <w:pPr>
              <w:widowControl/>
              <w:spacing w:line="360" w:lineRule="auto"/>
              <w:jc w:val="center"/>
              <w:rPr>
                <w:rFonts w:hint="eastAsia" w:ascii="Arial" w:hAnsi="Arial" w:cs="Arial"/>
                <w:color w:val="000000"/>
                <w:kern w:val="0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0"/>
                <w:szCs w:val="21"/>
              </w:rPr>
              <w:t>硫酸</w:t>
            </w:r>
          </w:p>
        </w:tc>
        <w:tc>
          <w:tcPr>
            <w:tcW w:w="1895" w:type="dxa"/>
            <w:noWrap w:val="0"/>
            <w:vAlign w:val="top"/>
          </w:tcPr>
          <w:p w14:paraId="6FCCBBE6">
            <w:pPr>
              <w:widowControl/>
              <w:spacing w:line="360" w:lineRule="auto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895" w:type="dxa"/>
            <w:noWrap w:val="0"/>
            <w:vAlign w:val="top"/>
          </w:tcPr>
          <w:p w14:paraId="3FA99CC6">
            <w:pPr>
              <w:widowControl/>
              <w:spacing w:line="360" w:lineRule="auto"/>
              <w:jc w:val="center"/>
              <w:rPr>
                <w:rFonts w:hint="eastAsia" w:ascii="Arial" w:hAnsi="Arial" w:eastAsia="宋体" w:cs="Arial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kern w:val="0"/>
                <w:szCs w:val="21"/>
                <w:lang w:val="en-US" w:eastAsia="zh-CN"/>
              </w:rPr>
              <w:t>8</w:t>
            </w:r>
          </w:p>
        </w:tc>
      </w:tr>
      <w:tr w14:paraId="00E3C5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1894" w:type="dxa"/>
            <w:vMerge w:val="continue"/>
            <w:noWrap w:val="0"/>
            <w:vAlign w:val="top"/>
          </w:tcPr>
          <w:p w14:paraId="2931606B">
            <w:pPr>
              <w:widowControl/>
              <w:spacing w:line="360" w:lineRule="auto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894" w:type="dxa"/>
            <w:noWrap w:val="0"/>
            <w:vAlign w:val="top"/>
          </w:tcPr>
          <w:p w14:paraId="722EBC50">
            <w:pPr>
              <w:widowControl/>
              <w:spacing w:line="360" w:lineRule="auto"/>
              <w:jc w:val="center"/>
              <w:rPr>
                <w:rFonts w:hint="eastAsia" w:ascii="Arial" w:hAnsi="Arial" w:cs="Arial"/>
                <w:color w:val="000000"/>
                <w:kern w:val="0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0"/>
                <w:szCs w:val="21"/>
              </w:rPr>
              <w:t>氯化氢</w:t>
            </w:r>
          </w:p>
        </w:tc>
        <w:tc>
          <w:tcPr>
            <w:tcW w:w="1895" w:type="dxa"/>
            <w:noWrap w:val="0"/>
            <w:vAlign w:val="top"/>
          </w:tcPr>
          <w:p w14:paraId="3E139399">
            <w:pPr>
              <w:widowControl/>
              <w:spacing w:line="360" w:lineRule="auto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895" w:type="dxa"/>
            <w:noWrap w:val="0"/>
            <w:vAlign w:val="top"/>
          </w:tcPr>
          <w:p w14:paraId="727789AD">
            <w:pPr>
              <w:widowControl/>
              <w:spacing w:line="360" w:lineRule="auto"/>
              <w:jc w:val="center"/>
              <w:rPr>
                <w:rFonts w:hint="eastAsia" w:ascii="Arial" w:hAnsi="Arial" w:eastAsia="宋体" w:cs="Arial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kern w:val="0"/>
                <w:szCs w:val="21"/>
                <w:lang w:val="en-US" w:eastAsia="zh-CN"/>
              </w:rPr>
              <w:t>2</w:t>
            </w:r>
          </w:p>
        </w:tc>
      </w:tr>
      <w:tr w14:paraId="4B0AC1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1894" w:type="dxa"/>
            <w:vMerge w:val="continue"/>
            <w:noWrap w:val="0"/>
            <w:vAlign w:val="top"/>
          </w:tcPr>
          <w:p w14:paraId="6CC28FFC">
            <w:pPr>
              <w:widowControl/>
              <w:spacing w:line="360" w:lineRule="auto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894" w:type="dxa"/>
            <w:noWrap w:val="0"/>
            <w:vAlign w:val="top"/>
          </w:tcPr>
          <w:p w14:paraId="6E35AB08">
            <w:pPr>
              <w:widowControl/>
              <w:spacing w:line="360" w:lineRule="auto"/>
              <w:jc w:val="center"/>
              <w:rPr>
                <w:rFonts w:hint="eastAsia" w:ascii="Arial" w:hAnsi="Arial" w:cs="Arial"/>
                <w:color w:val="000000"/>
                <w:kern w:val="0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0"/>
                <w:szCs w:val="21"/>
              </w:rPr>
              <w:t>噪声</w:t>
            </w:r>
          </w:p>
        </w:tc>
        <w:tc>
          <w:tcPr>
            <w:tcW w:w="1895" w:type="dxa"/>
            <w:noWrap w:val="0"/>
            <w:vAlign w:val="top"/>
          </w:tcPr>
          <w:p w14:paraId="053261D4">
            <w:pPr>
              <w:widowControl/>
              <w:spacing w:line="360" w:lineRule="auto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895" w:type="dxa"/>
            <w:noWrap w:val="0"/>
            <w:vAlign w:val="top"/>
          </w:tcPr>
          <w:p w14:paraId="6FCE0D87">
            <w:pPr>
              <w:widowControl/>
              <w:spacing w:line="360" w:lineRule="auto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0"/>
                <w:szCs w:val="21"/>
              </w:rPr>
              <w:t>18</w:t>
            </w:r>
          </w:p>
        </w:tc>
      </w:tr>
      <w:tr w14:paraId="1C9AA9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1894" w:type="dxa"/>
            <w:vMerge w:val="continue"/>
            <w:noWrap w:val="0"/>
            <w:vAlign w:val="top"/>
          </w:tcPr>
          <w:p w14:paraId="544E004F">
            <w:pPr>
              <w:widowControl/>
              <w:spacing w:line="360" w:lineRule="auto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894" w:type="dxa"/>
            <w:noWrap w:val="0"/>
            <w:vAlign w:val="top"/>
          </w:tcPr>
          <w:p w14:paraId="75DC9F94">
            <w:pPr>
              <w:widowControl/>
              <w:spacing w:line="360" w:lineRule="auto"/>
              <w:jc w:val="center"/>
              <w:rPr>
                <w:rFonts w:hint="eastAsia" w:ascii="Arial" w:hAnsi="Arial" w:cs="Arial"/>
                <w:color w:val="000000"/>
                <w:kern w:val="0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0"/>
                <w:szCs w:val="21"/>
              </w:rPr>
              <w:t>高温</w:t>
            </w:r>
          </w:p>
        </w:tc>
        <w:tc>
          <w:tcPr>
            <w:tcW w:w="1895" w:type="dxa"/>
            <w:noWrap w:val="0"/>
            <w:vAlign w:val="top"/>
          </w:tcPr>
          <w:p w14:paraId="25BDD6D7">
            <w:pPr>
              <w:widowControl/>
              <w:spacing w:line="360" w:lineRule="auto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895" w:type="dxa"/>
            <w:noWrap w:val="0"/>
            <w:vAlign w:val="top"/>
          </w:tcPr>
          <w:p w14:paraId="78FCBD39">
            <w:pPr>
              <w:widowControl/>
              <w:spacing w:line="360" w:lineRule="auto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0"/>
                <w:szCs w:val="21"/>
              </w:rPr>
              <w:t>4</w:t>
            </w:r>
          </w:p>
        </w:tc>
      </w:tr>
      <w:tr w14:paraId="20752F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1894" w:type="dxa"/>
            <w:vMerge w:val="continue"/>
            <w:noWrap w:val="0"/>
            <w:vAlign w:val="top"/>
          </w:tcPr>
          <w:p w14:paraId="072FE15B">
            <w:pPr>
              <w:widowControl/>
              <w:spacing w:line="360" w:lineRule="auto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894" w:type="dxa"/>
            <w:noWrap w:val="0"/>
            <w:vAlign w:val="top"/>
          </w:tcPr>
          <w:p w14:paraId="00D941EB">
            <w:pPr>
              <w:widowControl/>
              <w:spacing w:line="360" w:lineRule="auto"/>
              <w:jc w:val="center"/>
              <w:rPr>
                <w:rFonts w:hint="eastAsia" w:ascii="Arial" w:hAnsi="Arial" w:cs="Arial"/>
                <w:color w:val="000000"/>
                <w:kern w:val="0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0"/>
                <w:szCs w:val="21"/>
              </w:rPr>
              <w:t>工频电场</w:t>
            </w:r>
          </w:p>
        </w:tc>
        <w:tc>
          <w:tcPr>
            <w:tcW w:w="1895" w:type="dxa"/>
            <w:noWrap w:val="0"/>
            <w:vAlign w:val="top"/>
          </w:tcPr>
          <w:p w14:paraId="298608F7">
            <w:pPr>
              <w:widowControl/>
              <w:spacing w:line="360" w:lineRule="auto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895" w:type="dxa"/>
            <w:noWrap w:val="0"/>
            <w:vAlign w:val="top"/>
          </w:tcPr>
          <w:p w14:paraId="701A1B1E">
            <w:pPr>
              <w:widowControl/>
              <w:spacing w:line="360" w:lineRule="auto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0"/>
                <w:szCs w:val="21"/>
              </w:rPr>
              <w:t>1</w:t>
            </w:r>
          </w:p>
        </w:tc>
      </w:tr>
      <w:tr w14:paraId="7A9CC9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1894" w:type="dxa"/>
            <w:vMerge w:val="continue"/>
            <w:noWrap w:val="0"/>
            <w:vAlign w:val="top"/>
          </w:tcPr>
          <w:p w14:paraId="68B4C067">
            <w:pPr>
              <w:widowControl/>
              <w:spacing w:line="360" w:lineRule="auto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894" w:type="dxa"/>
            <w:noWrap w:val="0"/>
            <w:vAlign w:val="top"/>
          </w:tcPr>
          <w:p w14:paraId="3130C374">
            <w:pPr>
              <w:widowControl/>
              <w:spacing w:line="360" w:lineRule="auto"/>
              <w:jc w:val="center"/>
              <w:rPr>
                <w:rFonts w:hint="eastAsia" w:ascii="Arial" w:hAnsi="Arial" w:cs="Arial"/>
                <w:color w:val="000000"/>
                <w:kern w:val="0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0"/>
                <w:szCs w:val="21"/>
              </w:rPr>
              <w:t>锰化合物</w:t>
            </w:r>
          </w:p>
        </w:tc>
        <w:tc>
          <w:tcPr>
            <w:tcW w:w="1895" w:type="dxa"/>
            <w:noWrap w:val="0"/>
            <w:vAlign w:val="top"/>
          </w:tcPr>
          <w:p w14:paraId="7E02746C">
            <w:pPr>
              <w:widowControl/>
              <w:spacing w:line="360" w:lineRule="auto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895" w:type="dxa"/>
            <w:noWrap w:val="0"/>
            <w:vAlign w:val="top"/>
          </w:tcPr>
          <w:p w14:paraId="5C1989B9">
            <w:pPr>
              <w:widowControl/>
              <w:spacing w:line="360" w:lineRule="auto"/>
              <w:jc w:val="center"/>
              <w:rPr>
                <w:rFonts w:hint="eastAsia" w:ascii="Arial" w:hAnsi="Arial" w:eastAsia="宋体" w:cs="Arial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kern w:val="0"/>
                <w:szCs w:val="21"/>
                <w:lang w:val="en-US" w:eastAsia="zh-CN"/>
              </w:rPr>
              <w:t>2</w:t>
            </w:r>
          </w:p>
        </w:tc>
      </w:tr>
      <w:tr w14:paraId="4FA8F0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1894" w:type="dxa"/>
            <w:vMerge w:val="continue"/>
            <w:noWrap w:val="0"/>
            <w:vAlign w:val="top"/>
          </w:tcPr>
          <w:p w14:paraId="2FEB11D4">
            <w:pPr>
              <w:widowControl/>
              <w:spacing w:line="360" w:lineRule="auto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894" w:type="dxa"/>
            <w:noWrap w:val="0"/>
            <w:vAlign w:val="top"/>
          </w:tcPr>
          <w:p w14:paraId="082F72E2">
            <w:pPr>
              <w:widowControl/>
              <w:spacing w:line="360" w:lineRule="auto"/>
              <w:jc w:val="center"/>
              <w:rPr>
                <w:rFonts w:hint="default" w:ascii="Arial" w:hAnsi="Arial" w:eastAsia="宋体" w:cs="Arial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kern w:val="0"/>
                <w:szCs w:val="21"/>
                <w:lang w:val="en-US" w:eastAsia="zh-CN"/>
              </w:rPr>
              <w:t>砷化氢</w:t>
            </w:r>
          </w:p>
        </w:tc>
        <w:tc>
          <w:tcPr>
            <w:tcW w:w="1895" w:type="dxa"/>
            <w:noWrap w:val="0"/>
            <w:vAlign w:val="top"/>
          </w:tcPr>
          <w:p w14:paraId="6236D227">
            <w:pPr>
              <w:widowControl/>
              <w:spacing w:line="360" w:lineRule="auto"/>
              <w:jc w:val="center"/>
              <w:rPr>
                <w:rFonts w:hint="eastAsia" w:ascii="Arial" w:hAnsi="Arial" w:eastAsia="宋体" w:cs="Arial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1895" w:type="dxa"/>
            <w:noWrap w:val="0"/>
            <w:vAlign w:val="top"/>
          </w:tcPr>
          <w:p w14:paraId="537E2B34">
            <w:pPr>
              <w:widowControl/>
              <w:spacing w:line="360" w:lineRule="auto"/>
              <w:jc w:val="center"/>
              <w:rPr>
                <w:rFonts w:hint="eastAsia" w:ascii="Arial" w:hAnsi="Arial" w:eastAsia="宋体" w:cs="Arial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kern w:val="0"/>
                <w:szCs w:val="21"/>
                <w:lang w:val="en-US" w:eastAsia="zh-CN"/>
              </w:rPr>
              <w:t>1</w:t>
            </w:r>
          </w:p>
        </w:tc>
      </w:tr>
      <w:tr w14:paraId="1BE31E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  <w:jc w:val="center"/>
        </w:trPr>
        <w:tc>
          <w:tcPr>
            <w:tcW w:w="1894" w:type="dxa"/>
            <w:vMerge w:val="continue"/>
            <w:noWrap w:val="0"/>
            <w:vAlign w:val="top"/>
          </w:tcPr>
          <w:p w14:paraId="40EBC7B8">
            <w:pPr>
              <w:widowControl/>
              <w:spacing w:line="360" w:lineRule="auto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894" w:type="dxa"/>
            <w:noWrap w:val="0"/>
            <w:vAlign w:val="top"/>
          </w:tcPr>
          <w:p w14:paraId="1A25DE1A">
            <w:pPr>
              <w:widowControl/>
              <w:spacing w:line="360" w:lineRule="auto"/>
              <w:jc w:val="center"/>
              <w:rPr>
                <w:rFonts w:hint="eastAsia" w:ascii="Arial" w:hAnsi="Arial" w:eastAsia="宋体" w:cs="Arial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kern w:val="0"/>
                <w:szCs w:val="21"/>
                <w:lang w:val="en-US" w:eastAsia="zh-CN"/>
              </w:rPr>
              <w:t>乙酸</w:t>
            </w:r>
          </w:p>
        </w:tc>
        <w:tc>
          <w:tcPr>
            <w:tcW w:w="1895" w:type="dxa"/>
            <w:noWrap w:val="0"/>
            <w:vAlign w:val="top"/>
          </w:tcPr>
          <w:p w14:paraId="557AAB90">
            <w:pPr>
              <w:widowControl/>
              <w:spacing w:line="360" w:lineRule="auto"/>
              <w:jc w:val="center"/>
              <w:rPr>
                <w:rFonts w:hint="eastAsia" w:ascii="Arial" w:hAnsi="Arial" w:eastAsia="宋体" w:cs="Arial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1895" w:type="dxa"/>
            <w:noWrap w:val="0"/>
            <w:vAlign w:val="top"/>
          </w:tcPr>
          <w:p w14:paraId="4034B0F7">
            <w:pPr>
              <w:widowControl/>
              <w:spacing w:line="360" w:lineRule="auto"/>
              <w:jc w:val="center"/>
              <w:rPr>
                <w:rFonts w:hint="eastAsia" w:ascii="Arial" w:hAnsi="Arial" w:eastAsia="宋体" w:cs="Arial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kern w:val="0"/>
                <w:szCs w:val="21"/>
                <w:lang w:val="en-US" w:eastAsia="zh-CN"/>
              </w:rPr>
              <w:t>1</w:t>
            </w:r>
          </w:p>
        </w:tc>
      </w:tr>
    </w:tbl>
    <w:p w14:paraId="72F12447">
      <w:pPr>
        <w:widowControl/>
        <w:shd w:val="clear" w:color="auto" w:fill="FFFFFF"/>
        <w:spacing w:line="360" w:lineRule="auto"/>
        <w:jc w:val="left"/>
        <w:rPr>
          <w:rFonts w:ascii="Arial" w:hAnsi="Arial" w:cs="Arial"/>
          <w:color w:val="000000"/>
          <w:kern w:val="0"/>
          <w:szCs w:val="21"/>
        </w:rPr>
      </w:pPr>
      <w:r>
        <w:rPr>
          <w:rFonts w:hint="eastAsia" w:ascii="Arial" w:hAnsi="Arial" w:cs="Arial"/>
          <w:b/>
          <w:bCs/>
          <w:color w:val="000000"/>
          <w:kern w:val="0"/>
          <w:szCs w:val="21"/>
          <w:lang w:val="en-US" w:eastAsia="zh-CN"/>
        </w:rPr>
        <w:t>二：</w:t>
      </w:r>
      <w:r>
        <w:rPr>
          <w:rFonts w:ascii="Arial" w:hAnsi="Arial" w:cs="Arial"/>
          <w:b/>
          <w:bCs/>
          <w:color w:val="000000"/>
          <w:kern w:val="0"/>
          <w:szCs w:val="21"/>
        </w:rPr>
        <w:t>投标人的资格条件</w:t>
      </w:r>
    </w:p>
    <w:p w14:paraId="0084CEB3">
      <w:pPr>
        <w:widowControl/>
        <w:shd w:val="clear" w:color="auto" w:fill="FFFFFF"/>
        <w:spacing w:line="360" w:lineRule="auto"/>
        <w:ind w:firstLine="240"/>
        <w:jc w:val="left"/>
        <w:rPr>
          <w:rFonts w:ascii="Arial" w:hAnsi="Arial" w:cs="Arial"/>
          <w:color w:val="000000"/>
          <w:kern w:val="0"/>
          <w:szCs w:val="21"/>
        </w:rPr>
      </w:pPr>
      <w:r>
        <w:rPr>
          <w:rFonts w:ascii="Arial" w:hAnsi="Arial" w:cs="Arial"/>
          <w:color w:val="000000"/>
          <w:kern w:val="0"/>
          <w:szCs w:val="21"/>
        </w:rPr>
        <w:t>1、具有独立法人地位的企事业单位或其他经济实体；</w:t>
      </w:r>
    </w:p>
    <w:p w14:paraId="3573A58A">
      <w:pPr>
        <w:widowControl/>
        <w:shd w:val="clear" w:color="auto" w:fill="FFFFFF"/>
        <w:spacing w:line="360" w:lineRule="auto"/>
        <w:ind w:firstLine="240"/>
        <w:jc w:val="left"/>
        <w:rPr>
          <w:rFonts w:ascii="Arial" w:hAnsi="Arial" w:cs="Arial"/>
          <w:color w:val="000000"/>
          <w:kern w:val="0"/>
          <w:szCs w:val="21"/>
        </w:rPr>
      </w:pPr>
      <w:r>
        <w:rPr>
          <w:rFonts w:ascii="Arial" w:hAnsi="Arial" w:cs="Arial"/>
          <w:color w:val="000000"/>
          <w:kern w:val="0"/>
          <w:szCs w:val="21"/>
        </w:rPr>
        <w:t>2、具备相关行政主管部门核发的《</w:t>
      </w:r>
      <w:r>
        <w:rPr>
          <w:rFonts w:hint="eastAsia" w:ascii="Arial" w:hAnsi="Arial" w:cs="Arial"/>
          <w:color w:val="000000"/>
          <w:kern w:val="0"/>
          <w:szCs w:val="21"/>
        </w:rPr>
        <w:t>职业病危害因素检测</w:t>
      </w:r>
      <w:r>
        <w:rPr>
          <w:rFonts w:ascii="Arial" w:hAnsi="Arial" w:cs="Arial"/>
          <w:color w:val="000000"/>
          <w:kern w:val="0"/>
          <w:szCs w:val="21"/>
        </w:rPr>
        <w:t>》</w:t>
      </w:r>
      <w:r>
        <w:rPr>
          <w:rFonts w:hint="eastAsia" w:ascii="Arial" w:hAnsi="Arial" w:cs="Arial"/>
          <w:color w:val="000000"/>
          <w:kern w:val="0"/>
          <w:szCs w:val="21"/>
        </w:rPr>
        <w:t>证书</w:t>
      </w:r>
      <w:r>
        <w:rPr>
          <w:rFonts w:ascii="Arial" w:hAnsi="Arial" w:cs="Arial"/>
          <w:color w:val="000000"/>
          <w:kern w:val="0"/>
          <w:szCs w:val="21"/>
        </w:rPr>
        <w:t>；</w:t>
      </w:r>
    </w:p>
    <w:p w14:paraId="74A5ABF9">
      <w:pPr>
        <w:widowControl/>
        <w:shd w:val="clear" w:color="auto" w:fill="FFFFFF"/>
        <w:spacing w:line="360" w:lineRule="auto"/>
        <w:ind w:firstLine="240"/>
        <w:jc w:val="left"/>
        <w:rPr>
          <w:rFonts w:ascii="Arial" w:hAnsi="Arial" w:cs="Arial"/>
          <w:color w:val="000000"/>
          <w:kern w:val="0"/>
          <w:szCs w:val="21"/>
        </w:rPr>
      </w:pPr>
      <w:r>
        <w:rPr>
          <w:rFonts w:ascii="Arial" w:hAnsi="Arial" w:cs="Arial"/>
          <w:color w:val="000000"/>
          <w:kern w:val="0"/>
          <w:szCs w:val="21"/>
        </w:rPr>
        <w:t>3、没有处于被责令停业，投标资格被取消，财产被接管、冻结，破产状态；</w:t>
      </w:r>
    </w:p>
    <w:p w14:paraId="6D58CFA0">
      <w:pPr>
        <w:widowControl/>
        <w:shd w:val="clear" w:color="auto" w:fill="FFFFFF"/>
        <w:spacing w:line="360" w:lineRule="auto"/>
        <w:ind w:firstLine="240"/>
        <w:jc w:val="left"/>
        <w:rPr>
          <w:rFonts w:ascii="Arial" w:hAnsi="Arial" w:cs="Arial"/>
          <w:color w:val="000000"/>
          <w:kern w:val="0"/>
          <w:szCs w:val="21"/>
        </w:rPr>
      </w:pPr>
      <w:r>
        <w:rPr>
          <w:rFonts w:ascii="Arial" w:hAnsi="Arial" w:cs="Arial"/>
          <w:color w:val="000000"/>
          <w:kern w:val="0"/>
          <w:szCs w:val="21"/>
        </w:rPr>
        <w:t>4、在近三年内没有骗取中标和严重违约及重大项目质量问题。</w:t>
      </w:r>
    </w:p>
    <w:p w14:paraId="03DD4D48">
      <w:pPr>
        <w:widowControl/>
        <w:shd w:val="clear" w:color="auto" w:fill="FFFFFF"/>
        <w:spacing w:line="360" w:lineRule="auto"/>
        <w:jc w:val="left"/>
        <w:rPr>
          <w:rFonts w:hint="eastAsia" w:ascii="Arial" w:hAnsi="Arial" w:cs="Arial"/>
          <w:b/>
          <w:bCs/>
          <w:color w:val="000000"/>
          <w:kern w:val="0"/>
          <w:szCs w:val="21"/>
          <w:lang w:val="en-US" w:eastAsia="zh-CN"/>
        </w:rPr>
      </w:pPr>
      <w:r>
        <w:rPr>
          <w:rFonts w:hint="eastAsia" w:ascii="Arial" w:hAnsi="Arial" w:cs="Arial"/>
          <w:b/>
          <w:bCs/>
          <w:color w:val="000000"/>
          <w:kern w:val="0"/>
          <w:szCs w:val="21"/>
          <w:lang w:val="en-US" w:eastAsia="zh-CN"/>
        </w:rPr>
        <w:t>三：投标说明</w:t>
      </w:r>
    </w:p>
    <w:p w14:paraId="72D44547">
      <w:pPr>
        <w:widowControl/>
        <w:shd w:val="clear" w:color="auto" w:fill="FFFFFF"/>
        <w:spacing w:line="360" w:lineRule="auto"/>
        <w:ind w:firstLine="240"/>
        <w:jc w:val="left"/>
        <w:rPr>
          <w:rFonts w:ascii="Arial" w:hAnsi="Arial" w:cs="Arial"/>
          <w:color w:val="000000"/>
          <w:kern w:val="0"/>
          <w:szCs w:val="21"/>
        </w:rPr>
      </w:pPr>
      <w:r>
        <w:rPr>
          <w:rFonts w:ascii="Arial" w:hAnsi="Arial" w:cs="Arial"/>
          <w:color w:val="000000"/>
          <w:kern w:val="0"/>
          <w:szCs w:val="21"/>
        </w:rPr>
        <w:t>1、报价人投标时须提交有效的营业执照、法定代表人身份证或委托人身份证，资质证明文件，以上文件的复印件（加盖公司印章）一套，委托他人代理的要授权委托书一份等。</w:t>
      </w:r>
    </w:p>
    <w:p w14:paraId="1BFB8A40">
      <w:pPr>
        <w:pStyle w:val="8"/>
        <w:ind w:left="0" w:leftChars="0" w:firstLine="0" w:firstLineChars="0"/>
        <w:rPr>
          <w:rFonts w:ascii="Arial" w:hAnsi="Arial" w:cs="Arial"/>
          <w:color w:val="000000"/>
          <w:kern w:val="0"/>
          <w:szCs w:val="21"/>
        </w:rPr>
      </w:pPr>
      <w:r>
        <w:rPr>
          <w:rFonts w:ascii="Arial" w:hAnsi="Arial" w:cs="Arial"/>
          <w:color w:val="000000"/>
          <w:kern w:val="0"/>
          <w:szCs w:val="21"/>
        </w:rPr>
        <w:t>2、报价人务必将上述材料与报价清单（注：投标人自行编制）一起进行密封，并在外面注明参与报价的项目名称及报价人公司名称，在报价截止时间之前邮寄或送达指定地点。</w:t>
      </w:r>
    </w:p>
    <w:p w14:paraId="4C11238C">
      <w:pPr>
        <w:widowControl/>
        <w:shd w:val="clear" w:color="auto" w:fill="FFFFFF"/>
        <w:spacing w:line="360" w:lineRule="auto"/>
        <w:jc w:val="left"/>
        <w:rPr>
          <w:rFonts w:hint="eastAsia" w:ascii="Arial" w:hAnsi="Arial" w:cs="Arial"/>
          <w:b/>
          <w:bCs/>
          <w:color w:val="000000"/>
          <w:kern w:val="0"/>
          <w:szCs w:val="21"/>
          <w:lang w:val="en-US" w:eastAsia="zh-CN"/>
        </w:rPr>
      </w:pPr>
      <w:r>
        <w:rPr>
          <w:rFonts w:hint="eastAsia" w:ascii="Arial" w:hAnsi="Arial" w:cs="Arial"/>
          <w:color w:val="000000"/>
          <w:kern w:val="0"/>
          <w:szCs w:val="21"/>
          <w:lang w:val="en-US" w:eastAsia="zh-CN"/>
        </w:rPr>
        <w:t>3、评标方式</w:t>
      </w:r>
    </w:p>
    <w:p w14:paraId="538411EE">
      <w:pPr>
        <w:pStyle w:val="7"/>
        <w:rPr>
          <w:rFonts w:hint="eastAsia" w:ascii="Arial" w:hAnsi="Arial" w:cs="Arial"/>
          <w:color w:val="000000"/>
          <w:kern w:val="0"/>
          <w:szCs w:val="21"/>
          <w:lang w:val="en-US" w:eastAsia="zh-CN"/>
        </w:rPr>
      </w:pPr>
      <w:r>
        <w:rPr>
          <w:rFonts w:hint="eastAsia" w:ascii="Arial" w:hAnsi="Arial" w:cs="Arial"/>
          <w:color w:val="000000"/>
          <w:kern w:val="0"/>
          <w:szCs w:val="21"/>
          <w:lang w:val="en-US" w:eastAsia="zh-CN"/>
        </w:rPr>
        <w:t xml:space="preserve">    综合评标法，得分最高投标方为中标方。</w:t>
      </w:r>
    </w:p>
    <w:p w14:paraId="3B7EB8F0">
      <w:pPr>
        <w:pStyle w:val="4"/>
        <w:jc w:val="center"/>
        <w:rPr>
          <w:rFonts w:hint="eastAsia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</w:rPr>
        <w:t>202</w:t>
      </w:r>
      <w:r>
        <w:rPr>
          <w:rFonts w:hint="eastAsia" w:eastAsia="宋体" w:cs="宋体"/>
          <w:b/>
          <w:bCs/>
          <w:color w:val="auto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</w:rPr>
        <w:t>年</w:t>
      </w:r>
      <w:r>
        <w:rPr>
          <w:rFonts w:hint="eastAsia" w:ascii="宋体" w:hAnsi="宋体" w:cs="宋体"/>
          <w:b/>
          <w:bCs/>
          <w:color w:val="auto"/>
          <w:sz w:val="24"/>
          <w:szCs w:val="24"/>
          <w:lang w:val="en-US" w:eastAsia="zh-CN"/>
        </w:rPr>
        <w:t>职业病危害因素检测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</w:rPr>
        <w:t>评分表</w:t>
      </w:r>
    </w:p>
    <w:tbl>
      <w:tblPr>
        <w:tblStyle w:val="9"/>
        <w:tblW w:w="5806" w:type="pct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4"/>
        <w:gridCol w:w="1365"/>
        <w:gridCol w:w="6378"/>
        <w:gridCol w:w="1089"/>
      </w:tblGrid>
      <w:tr w14:paraId="261F7D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242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0E0D3FFD">
            <w:pPr>
              <w:spacing w:before="156" w:beforeLines="50" w:after="156" w:afterLines="50"/>
              <w:jc w:val="center"/>
              <w:rPr>
                <w:rFonts w:ascii="宋体" w:hAnsi="宋体"/>
                <w:sz w:val="24"/>
                <w:szCs w:val="22"/>
              </w:rPr>
            </w:pPr>
            <w:r>
              <w:rPr>
                <w:rFonts w:hint="eastAsia" w:ascii="宋体" w:hAnsi="宋体"/>
                <w:sz w:val="24"/>
                <w:szCs w:val="22"/>
              </w:rPr>
              <w:t>评分项目</w:t>
            </w:r>
          </w:p>
        </w:tc>
        <w:tc>
          <w:tcPr>
            <w:tcW w:w="63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2B74AAFC">
            <w:pPr>
              <w:spacing w:before="156" w:beforeLines="50" w:after="156" w:afterLines="50"/>
              <w:jc w:val="center"/>
              <w:rPr>
                <w:rFonts w:ascii="宋体" w:hAnsi="宋体"/>
                <w:sz w:val="24"/>
                <w:szCs w:val="22"/>
              </w:rPr>
            </w:pPr>
            <w:r>
              <w:rPr>
                <w:rFonts w:hint="eastAsia" w:ascii="宋体" w:hAnsi="宋体"/>
                <w:sz w:val="24"/>
                <w:szCs w:val="22"/>
              </w:rPr>
              <w:t>评分参考及范围</w:t>
            </w:r>
          </w:p>
        </w:tc>
        <w:tc>
          <w:tcPr>
            <w:tcW w:w="10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3BA75C5C">
            <w:pPr>
              <w:spacing w:before="156" w:beforeLines="50" w:after="156" w:afterLines="50"/>
              <w:jc w:val="center"/>
              <w:rPr>
                <w:rFonts w:ascii="宋体" w:hAnsi="宋体"/>
                <w:sz w:val="24"/>
                <w:szCs w:val="22"/>
              </w:rPr>
            </w:pPr>
            <w:r>
              <w:rPr>
                <w:rFonts w:hint="eastAsia" w:ascii="宋体" w:hAnsi="宋体"/>
                <w:sz w:val="24"/>
                <w:szCs w:val="22"/>
              </w:rPr>
              <w:t>分值</w:t>
            </w:r>
          </w:p>
        </w:tc>
      </w:tr>
      <w:tr w14:paraId="507DF2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064" w:type="dxa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F2D2E3">
            <w:pPr>
              <w:jc w:val="center"/>
            </w:pPr>
            <w:r>
              <w:rPr>
                <w:rFonts w:hint="eastAsia"/>
              </w:rPr>
              <w:t>价格部分 （</w:t>
            </w:r>
            <w:r>
              <w:rPr>
                <w:rFonts w:hint="eastAsia"/>
                <w:lang w:val="en-US" w:eastAsia="zh-CN"/>
              </w:rPr>
              <w:t>80</w:t>
            </w:r>
            <w:r>
              <w:rPr>
                <w:rFonts w:hint="eastAsia"/>
              </w:rPr>
              <w:t>分）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66F2F920">
            <w:pPr>
              <w:ind w:firstLine="210" w:firstLineChars="100"/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投标报价</w:t>
            </w:r>
          </w:p>
        </w:tc>
        <w:tc>
          <w:tcPr>
            <w:tcW w:w="63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2AA7240C">
            <w:pPr>
              <w:jc w:val="left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满分</w:t>
            </w:r>
            <w:r>
              <w:rPr>
                <w:rFonts w:hint="eastAsia"/>
                <w:highlight w:val="none"/>
                <w:lang w:val="en-US" w:eastAsia="zh-CN"/>
              </w:rPr>
              <w:t>80</w:t>
            </w:r>
            <w:r>
              <w:rPr>
                <w:rFonts w:hint="eastAsia"/>
                <w:highlight w:val="none"/>
              </w:rPr>
              <w:t>分。最低价投标单位得分</w:t>
            </w:r>
            <w:r>
              <w:rPr>
                <w:rFonts w:hint="eastAsia"/>
                <w:highlight w:val="none"/>
                <w:lang w:val="en-US" w:eastAsia="zh-CN"/>
              </w:rPr>
              <w:t>80</w:t>
            </w:r>
            <w:r>
              <w:rPr>
                <w:rFonts w:hint="eastAsia"/>
                <w:highlight w:val="none"/>
              </w:rPr>
              <w:t>分，最高价投标单位得分</w:t>
            </w:r>
            <w:r>
              <w:rPr>
                <w:rFonts w:hint="eastAsia"/>
                <w:highlight w:val="none"/>
                <w:lang w:val="en-US" w:eastAsia="zh-CN"/>
              </w:rPr>
              <w:t>75</w:t>
            </w:r>
            <w:r>
              <w:rPr>
                <w:rFonts w:hint="eastAsia"/>
                <w:highlight w:val="none"/>
              </w:rPr>
              <w:t>分。除最低、最高投标单位外，其他投标单位报价得分</w:t>
            </w:r>
            <w:r>
              <w:rPr>
                <w:rFonts w:hint="eastAsia"/>
                <w:highlight w:val="none"/>
                <w:lang w:val="en-US" w:eastAsia="zh-CN"/>
              </w:rPr>
              <w:t>均为78分</w:t>
            </w:r>
            <w:r>
              <w:rPr>
                <w:rFonts w:hint="eastAsia"/>
                <w:highlight w:val="none"/>
              </w:rPr>
              <w:t>。</w:t>
            </w:r>
          </w:p>
        </w:tc>
        <w:tc>
          <w:tcPr>
            <w:tcW w:w="10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3E49CDEB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80</w:t>
            </w:r>
          </w:p>
        </w:tc>
      </w:tr>
      <w:tr w14:paraId="30E95F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  <w:jc w:val="center"/>
        </w:trPr>
        <w:tc>
          <w:tcPr>
            <w:tcW w:w="10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C13020">
            <w:pPr>
              <w:spacing w:line="320" w:lineRule="exact"/>
              <w:jc w:val="center"/>
              <w:rPr>
                <w:rFonts w:hint="eastAsia"/>
                <w:lang w:val="en-US" w:eastAsia="zh-CN"/>
              </w:rPr>
            </w:pPr>
          </w:p>
          <w:p w14:paraId="5FB2EF72">
            <w:pPr>
              <w:spacing w:line="320" w:lineRule="exact"/>
              <w:jc w:val="center"/>
              <w:rPr>
                <w:rFonts w:hint="eastAsia"/>
                <w:lang w:val="en-US" w:eastAsia="zh-CN"/>
              </w:rPr>
            </w:pPr>
          </w:p>
          <w:p w14:paraId="6AE64281">
            <w:pPr>
              <w:spacing w:line="320" w:lineRule="exac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综合评价</w:t>
            </w:r>
          </w:p>
          <w:p w14:paraId="551CEABC">
            <w:pPr>
              <w:pStyle w:val="2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（20分）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auto" w:sz="4" w:space="0"/>
              <w:right w:val="single" w:color="000000" w:sz="6" w:space="0"/>
            </w:tcBorders>
            <w:noWrap w:val="0"/>
            <w:vAlign w:val="center"/>
          </w:tcPr>
          <w:p w14:paraId="6596DE09">
            <w:pPr>
              <w:spacing w:line="320" w:lineRule="exact"/>
              <w:jc w:val="center"/>
              <w:rPr>
                <w:rFonts w:hint="eastAsia" w:ascii="宋体" w:hAnsi="宋体" w:eastAsiaTheme="minorEastAsia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公司</w:t>
            </w:r>
            <w:r>
              <w:rPr>
                <w:rFonts w:hint="eastAsia" w:ascii="宋体" w:hAnsi="宋体"/>
                <w:szCs w:val="21"/>
              </w:rPr>
              <w:t>营业规模</w:t>
            </w:r>
          </w:p>
        </w:tc>
        <w:tc>
          <w:tcPr>
            <w:tcW w:w="63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6C66EA75">
            <w:pPr>
              <w:spacing w:line="320" w:lineRule="exact"/>
              <w:jc w:val="left"/>
              <w:rPr>
                <w:rFonts w:hint="default" w:ascii="宋体" w:hAnsi="宋体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 w:eastAsiaTheme="minorEastAsia"/>
                <w:szCs w:val="21"/>
                <w:lang w:val="en-US" w:eastAsia="zh-CN"/>
              </w:rPr>
              <w:t>营业额一亿以上得10分，5000-9999万得5分，5000万一下得3分</w:t>
            </w:r>
          </w:p>
        </w:tc>
        <w:tc>
          <w:tcPr>
            <w:tcW w:w="1089" w:type="dxa"/>
            <w:tcBorders>
              <w:top w:val="single" w:color="000000" w:sz="6" w:space="0"/>
              <w:left w:val="single" w:color="000000" w:sz="6" w:space="0"/>
              <w:right w:val="single" w:color="000000" w:sz="2" w:space="0"/>
            </w:tcBorders>
            <w:noWrap w:val="0"/>
            <w:vAlign w:val="center"/>
          </w:tcPr>
          <w:p w14:paraId="4F665368"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</w:p>
          <w:p w14:paraId="3015A774">
            <w:pPr>
              <w:spacing w:line="320" w:lineRule="exact"/>
              <w:jc w:val="center"/>
              <w:rPr>
                <w:rFonts w:hint="default" w:ascii="宋体" w:hAnsi="宋体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10</w:t>
            </w:r>
          </w:p>
        </w:tc>
      </w:tr>
      <w:tr w14:paraId="5936E0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106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47EF5B0">
            <w:pPr>
              <w:pStyle w:val="2"/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</w:p>
        </w:tc>
        <w:tc>
          <w:tcPr>
            <w:tcW w:w="1365" w:type="dxa"/>
            <w:tcBorders>
              <w:top w:val="single" w:color="000000" w:sz="6" w:space="0"/>
              <w:left w:val="single" w:color="auto" w:sz="4" w:space="0"/>
              <w:right w:val="single" w:color="000000" w:sz="6" w:space="0"/>
            </w:tcBorders>
            <w:noWrap w:val="0"/>
            <w:vAlign w:val="center"/>
          </w:tcPr>
          <w:p w14:paraId="73CE9DC8">
            <w:pPr>
              <w:spacing w:line="320" w:lineRule="exact"/>
              <w:jc w:val="center"/>
              <w:rPr>
                <w:rFonts w:hint="default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检测服务影响力</w:t>
            </w:r>
          </w:p>
        </w:tc>
        <w:tc>
          <w:tcPr>
            <w:tcW w:w="63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31B50C1E">
            <w:pPr>
              <w:spacing w:line="320" w:lineRule="exact"/>
              <w:jc w:val="left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拥有自己独立的实验室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资质、设备较为齐全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检测范围广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能为客户提供一站式的检测服务，服务较为完善</w:t>
            </w:r>
            <w:r>
              <w:rPr>
                <w:rFonts w:hint="eastAsia"/>
                <w:highlight w:val="none"/>
                <w:lang w:val="en-US" w:eastAsia="zh-CN"/>
              </w:rPr>
              <w:t>评比。提供相关证明材料，齐全最高者得10分、最低者得3分、其余得5分。</w:t>
            </w:r>
          </w:p>
        </w:tc>
        <w:tc>
          <w:tcPr>
            <w:tcW w:w="1089" w:type="dxa"/>
            <w:tcBorders>
              <w:top w:val="single" w:color="000000" w:sz="6" w:space="0"/>
              <w:left w:val="single" w:color="000000" w:sz="6" w:space="0"/>
              <w:right w:val="single" w:color="000000" w:sz="2" w:space="0"/>
            </w:tcBorders>
            <w:noWrap w:val="0"/>
            <w:vAlign w:val="center"/>
          </w:tcPr>
          <w:p w14:paraId="243AC786">
            <w:pPr>
              <w:spacing w:line="320" w:lineRule="exact"/>
              <w:jc w:val="center"/>
              <w:rPr>
                <w:rFonts w:hint="default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10</w:t>
            </w:r>
          </w:p>
        </w:tc>
      </w:tr>
      <w:tr w14:paraId="528A5B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" w:hRule="atLeast"/>
          <w:jc w:val="center"/>
        </w:trPr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3357F2">
            <w:pPr>
              <w:spacing w:before="156" w:beforeLines="50" w:after="156" w:afterLines="5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总分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5EC96B">
            <w:pPr>
              <w:spacing w:before="156" w:beforeLines="50" w:after="156" w:afterLines="5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6378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7F5740E4">
            <w:pPr>
              <w:spacing w:before="156" w:beforeLines="50" w:after="156" w:afterLines="5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2" w:space="0"/>
            </w:tcBorders>
            <w:noWrap w:val="0"/>
            <w:vAlign w:val="center"/>
          </w:tcPr>
          <w:p w14:paraId="42DCEC7D">
            <w:pPr>
              <w:spacing w:before="156" w:beforeLines="50" w:after="156" w:afterLines="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100</w:t>
            </w:r>
          </w:p>
        </w:tc>
      </w:tr>
    </w:tbl>
    <w:p w14:paraId="4262B1B4">
      <w:pPr>
        <w:pStyle w:val="4"/>
        <w:rPr>
          <w:rFonts w:hint="eastAsia"/>
          <w:lang w:val="en-US" w:eastAsia="zh-CN"/>
        </w:rPr>
      </w:pPr>
    </w:p>
    <w:p w14:paraId="338CBF53">
      <w:pPr>
        <w:widowControl/>
        <w:shd w:val="clear" w:color="auto" w:fill="FFFFFF"/>
        <w:spacing w:line="360" w:lineRule="auto"/>
        <w:jc w:val="left"/>
        <w:rPr>
          <w:rFonts w:hint="eastAsia" w:ascii="Arial" w:hAnsi="Arial" w:cs="Arial"/>
          <w:b/>
          <w:bCs/>
          <w:color w:val="000000"/>
          <w:kern w:val="0"/>
          <w:szCs w:val="21"/>
        </w:rPr>
      </w:pPr>
      <w:r>
        <w:rPr>
          <w:rFonts w:hint="eastAsia" w:ascii="Arial" w:hAnsi="Arial" w:cs="Arial"/>
          <w:b/>
          <w:bCs/>
          <w:color w:val="000000"/>
          <w:kern w:val="0"/>
          <w:szCs w:val="21"/>
          <w:lang w:val="en-US" w:eastAsia="zh-CN"/>
        </w:rPr>
        <w:t>四</w:t>
      </w:r>
      <w:r>
        <w:rPr>
          <w:rFonts w:hint="eastAsia" w:ascii="Arial" w:hAnsi="Arial" w:cs="Arial"/>
          <w:b/>
          <w:bCs/>
          <w:color w:val="000000"/>
          <w:kern w:val="0"/>
          <w:szCs w:val="21"/>
        </w:rPr>
        <w:t>、报价</w:t>
      </w:r>
    </w:p>
    <w:p w14:paraId="0A480513">
      <w:pPr>
        <w:widowControl/>
        <w:shd w:val="clear" w:color="auto" w:fill="FFFFFF"/>
        <w:spacing w:line="360" w:lineRule="auto"/>
        <w:ind w:firstLine="240"/>
        <w:jc w:val="left"/>
        <w:rPr>
          <w:rFonts w:hint="eastAsia"/>
          <w:lang w:eastAsia="zh-CN"/>
        </w:rPr>
      </w:pPr>
      <w:r>
        <w:rPr>
          <w:rFonts w:ascii="Arial" w:hAnsi="Arial" w:cs="Arial"/>
          <w:color w:val="000000"/>
          <w:kern w:val="0"/>
          <w:szCs w:val="21"/>
        </w:rPr>
        <w:t>报价为最终价，包含人员差旅费、报告编制费、税金等与此项目相关的一切费用。在服务实施过程中，如出现超出协商约定的服务内容，需增加服务费用，服务费用标准由双方另行商定。</w:t>
      </w:r>
    </w:p>
    <w:p w14:paraId="1022D638">
      <w:pPr>
        <w:widowControl/>
        <w:shd w:val="clear" w:color="auto" w:fill="FFFFFF"/>
        <w:spacing w:line="360" w:lineRule="auto"/>
        <w:jc w:val="left"/>
        <w:rPr>
          <w:rFonts w:hint="eastAsia" w:ascii="Arial" w:hAnsi="Arial" w:cs="Arial"/>
          <w:b/>
          <w:bCs/>
          <w:color w:val="000000"/>
          <w:kern w:val="0"/>
          <w:szCs w:val="21"/>
          <w:lang w:val="en-US" w:eastAsia="zh-CN"/>
        </w:rPr>
      </w:pPr>
      <w:r>
        <w:rPr>
          <w:rFonts w:hint="eastAsia" w:ascii="Arial" w:hAnsi="Arial" w:cs="Arial"/>
          <w:b/>
          <w:bCs/>
          <w:color w:val="000000"/>
          <w:kern w:val="0"/>
          <w:szCs w:val="21"/>
          <w:lang w:val="en-US" w:eastAsia="zh-CN"/>
        </w:rPr>
        <w:t>五、付款方式</w:t>
      </w:r>
    </w:p>
    <w:p w14:paraId="0C93545B">
      <w:pPr>
        <w:widowControl/>
        <w:shd w:val="clear" w:color="auto" w:fill="FFFFFF"/>
        <w:spacing w:line="360" w:lineRule="auto"/>
        <w:jc w:val="left"/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  <w:lang w:val="en-US" w:eastAsia="zh-CN"/>
        </w:rPr>
        <w:t xml:space="preserve">   </w:t>
      </w:r>
      <w:r>
        <w:rPr>
          <w:rFonts w:ascii="Arial" w:hAnsi="Arial" w:cs="Arial"/>
          <w:color w:val="000000"/>
          <w:kern w:val="0"/>
          <w:szCs w:val="21"/>
        </w:rPr>
        <w:t>付款方式：合同签订生效之日起</w:t>
      </w:r>
      <w:r>
        <w:rPr>
          <w:rFonts w:hint="eastAsia" w:ascii="Arial" w:hAnsi="Arial" w:cs="Arial"/>
          <w:color w:val="000000"/>
          <w:kern w:val="0"/>
          <w:szCs w:val="21"/>
          <w:lang w:val="en-US" w:eastAsia="zh-CN"/>
        </w:rPr>
        <w:t>40</w:t>
      </w:r>
      <w:r>
        <w:rPr>
          <w:rFonts w:ascii="Arial" w:hAnsi="Arial" w:cs="Arial"/>
          <w:color w:val="000000"/>
          <w:kern w:val="0"/>
          <w:szCs w:val="21"/>
        </w:rPr>
        <w:t>个工作日</w:t>
      </w:r>
      <w:r>
        <w:rPr>
          <w:rFonts w:hint="eastAsia" w:ascii="Arial" w:hAnsi="Arial" w:cs="Arial"/>
          <w:color w:val="000000"/>
          <w:kern w:val="0"/>
          <w:szCs w:val="21"/>
        </w:rPr>
        <w:t>完成《张家港联合铜业有限公司职业病危害因素检测》报告后中标方</w:t>
      </w:r>
      <w:r>
        <w:rPr>
          <w:rFonts w:ascii="Arial" w:hAnsi="Arial" w:cs="Arial"/>
          <w:color w:val="000000"/>
          <w:kern w:val="0"/>
          <w:szCs w:val="21"/>
        </w:rPr>
        <w:t>提供增值税税务发票。</w:t>
      </w:r>
    </w:p>
    <w:p w14:paraId="72F9F599">
      <w:pPr>
        <w:widowControl/>
        <w:shd w:val="clear" w:color="auto" w:fill="FFFFFF"/>
        <w:spacing w:line="360" w:lineRule="auto"/>
        <w:jc w:val="left"/>
        <w:rPr>
          <w:rFonts w:hint="eastAsia" w:ascii="Arial" w:hAnsi="Arial" w:cs="Arial"/>
          <w:b/>
          <w:bCs/>
          <w:color w:val="000000"/>
          <w:kern w:val="0"/>
          <w:szCs w:val="21"/>
        </w:rPr>
      </w:pPr>
      <w:r>
        <w:rPr>
          <w:rFonts w:hint="eastAsia" w:ascii="Arial" w:hAnsi="Arial" w:cs="Arial"/>
          <w:b/>
          <w:bCs/>
          <w:color w:val="000000"/>
          <w:kern w:val="0"/>
          <w:szCs w:val="21"/>
          <w:lang w:val="en-US" w:eastAsia="zh-CN"/>
        </w:rPr>
        <w:t>六</w:t>
      </w:r>
      <w:r>
        <w:rPr>
          <w:rFonts w:hint="eastAsia" w:ascii="Arial" w:hAnsi="Arial" w:cs="Arial"/>
          <w:b/>
          <w:bCs/>
          <w:color w:val="000000"/>
          <w:kern w:val="0"/>
          <w:szCs w:val="21"/>
        </w:rPr>
        <w:t>、报价截止时间</w:t>
      </w:r>
    </w:p>
    <w:p w14:paraId="0D8B3C6E">
      <w:pPr>
        <w:widowControl/>
        <w:shd w:val="clear" w:color="auto" w:fill="FFFFFF"/>
        <w:spacing w:line="360" w:lineRule="auto"/>
        <w:jc w:val="left"/>
        <w:rPr>
          <w:rFonts w:hint="eastAsia" w:ascii="Arial" w:hAnsi="Arial" w:cs="Arial"/>
          <w:color w:val="000000"/>
          <w:kern w:val="0"/>
          <w:szCs w:val="21"/>
        </w:rPr>
      </w:pPr>
      <w:r>
        <w:rPr>
          <w:rFonts w:hint="eastAsia" w:ascii="Arial" w:hAnsi="Arial" w:cs="Arial"/>
          <w:color w:val="000000"/>
          <w:kern w:val="0"/>
          <w:szCs w:val="21"/>
        </w:rPr>
        <w:t>202</w:t>
      </w:r>
      <w:r>
        <w:rPr>
          <w:rFonts w:hint="eastAsia" w:ascii="Arial" w:hAnsi="Arial" w:cs="Arial"/>
          <w:color w:val="000000"/>
          <w:kern w:val="0"/>
          <w:szCs w:val="21"/>
          <w:lang w:val="en-US" w:eastAsia="zh-CN"/>
        </w:rPr>
        <w:t>4</w:t>
      </w:r>
      <w:r>
        <w:rPr>
          <w:rFonts w:hint="eastAsia" w:ascii="Arial" w:hAnsi="Arial" w:cs="Arial"/>
          <w:color w:val="000000"/>
          <w:kern w:val="0"/>
          <w:szCs w:val="21"/>
        </w:rPr>
        <w:t>年</w:t>
      </w:r>
      <w:r>
        <w:rPr>
          <w:rFonts w:hint="eastAsia" w:ascii="Arial" w:hAnsi="Arial" w:cs="Arial"/>
          <w:color w:val="000000"/>
          <w:kern w:val="0"/>
          <w:szCs w:val="21"/>
          <w:lang w:val="en-US" w:eastAsia="zh-CN"/>
        </w:rPr>
        <w:t>4</w:t>
      </w:r>
      <w:r>
        <w:rPr>
          <w:rFonts w:hint="eastAsia" w:ascii="Arial" w:hAnsi="Arial" w:cs="Arial"/>
          <w:color w:val="000000"/>
          <w:kern w:val="0"/>
          <w:szCs w:val="21"/>
        </w:rPr>
        <w:t>月</w:t>
      </w:r>
      <w:r>
        <w:rPr>
          <w:rFonts w:hint="eastAsia" w:ascii="Arial" w:hAnsi="Arial" w:cs="Arial"/>
          <w:color w:val="000000"/>
          <w:kern w:val="0"/>
          <w:szCs w:val="21"/>
          <w:lang w:val="en-US" w:eastAsia="zh-CN"/>
        </w:rPr>
        <w:t>16</w:t>
      </w:r>
      <w:r>
        <w:rPr>
          <w:rFonts w:hint="eastAsia" w:ascii="Arial" w:hAnsi="Arial" w:cs="Arial"/>
          <w:color w:val="000000"/>
          <w:kern w:val="0"/>
          <w:szCs w:val="21"/>
        </w:rPr>
        <w:t>日9:00时，逾期送达或未送达指定地点的报价文件不予受理。</w:t>
      </w:r>
    </w:p>
    <w:p w14:paraId="23011F70">
      <w:pPr>
        <w:widowControl/>
        <w:shd w:val="clear" w:color="auto" w:fill="FFFFFF"/>
        <w:spacing w:line="360" w:lineRule="auto"/>
        <w:jc w:val="left"/>
        <w:rPr>
          <w:rFonts w:hint="eastAsia" w:ascii="Arial" w:hAnsi="Arial" w:cs="Arial"/>
          <w:b/>
          <w:bCs/>
          <w:color w:val="000000"/>
          <w:kern w:val="0"/>
          <w:szCs w:val="21"/>
        </w:rPr>
      </w:pPr>
      <w:r>
        <w:rPr>
          <w:rFonts w:hint="eastAsia" w:ascii="Arial" w:hAnsi="Arial" w:cs="Arial"/>
          <w:b/>
          <w:bCs/>
          <w:color w:val="000000"/>
          <w:kern w:val="0"/>
          <w:szCs w:val="21"/>
          <w:lang w:val="en-US" w:eastAsia="zh-CN"/>
        </w:rPr>
        <w:t>七</w:t>
      </w:r>
      <w:r>
        <w:rPr>
          <w:rFonts w:hint="eastAsia" w:ascii="Arial" w:hAnsi="Arial" w:cs="Arial"/>
          <w:b/>
          <w:bCs/>
          <w:color w:val="000000"/>
          <w:kern w:val="0"/>
          <w:szCs w:val="21"/>
        </w:rPr>
        <w:t>、报价文件接收单位及联系人：</w:t>
      </w:r>
    </w:p>
    <w:p w14:paraId="670A572B">
      <w:pPr>
        <w:widowControl/>
        <w:shd w:val="clear" w:color="auto" w:fill="FFFFFF"/>
        <w:spacing w:line="360" w:lineRule="auto"/>
        <w:jc w:val="left"/>
        <w:rPr>
          <w:rFonts w:hint="eastAsia" w:ascii="Arial" w:hAnsi="Arial" w:cs="Arial"/>
          <w:color w:val="000000"/>
          <w:kern w:val="0"/>
          <w:szCs w:val="21"/>
        </w:rPr>
      </w:pPr>
      <w:r>
        <w:rPr>
          <w:rFonts w:hint="eastAsia" w:ascii="Arial" w:hAnsi="Arial" w:cs="Arial"/>
          <w:color w:val="000000"/>
          <w:kern w:val="0"/>
          <w:szCs w:val="21"/>
        </w:rPr>
        <w:t>文件提交地址：张家港市锦丰镇三兴街道2202号，张家港联合铜业有限公司</w:t>
      </w:r>
      <w:r>
        <w:rPr>
          <w:rFonts w:hint="eastAsia" w:ascii="Arial" w:hAnsi="Arial" w:cs="Arial"/>
          <w:color w:val="000000"/>
          <w:kern w:val="0"/>
          <w:szCs w:val="21"/>
          <w:lang w:val="en-US" w:eastAsia="zh-CN"/>
        </w:rPr>
        <w:t>综合</w:t>
      </w:r>
      <w:r>
        <w:rPr>
          <w:rFonts w:hint="eastAsia" w:ascii="Arial" w:hAnsi="Arial" w:cs="Arial"/>
          <w:color w:val="000000"/>
          <w:kern w:val="0"/>
          <w:szCs w:val="21"/>
        </w:rPr>
        <w:t>部</w:t>
      </w:r>
      <w:r>
        <w:rPr>
          <w:rFonts w:hint="eastAsia" w:ascii="Arial" w:hAnsi="Arial" w:cs="Arial"/>
          <w:color w:val="000000"/>
          <w:kern w:val="0"/>
          <w:szCs w:val="21"/>
          <w:lang w:val="en-US" w:eastAsia="zh-CN"/>
        </w:rPr>
        <w:t>招标办</w:t>
      </w:r>
      <w:r>
        <w:rPr>
          <w:rFonts w:hint="eastAsia" w:ascii="Arial" w:hAnsi="Arial" w:cs="Arial"/>
          <w:color w:val="000000"/>
          <w:kern w:val="0"/>
          <w:szCs w:val="21"/>
        </w:rPr>
        <w:t>或安全科；邮编：215624</w:t>
      </w:r>
    </w:p>
    <w:p w14:paraId="4D6ECBAC">
      <w:pPr>
        <w:widowControl/>
        <w:shd w:val="clear" w:color="auto" w:fill="FFFFFF"/>
        <w:spacing w:line="360" w:lineRule="auto"/>
        <w:jc w:val="left"/>
        <w:rPr>
          <w:rFonts w:hint="eastAsia" w:ascii="Arial" w:hAnsi="Arial" w:cs="Arial"/>
          <w:color w:val="000000"/>
          <w:kern w:val="0"/>
          <w:szCs w:val="21"/>
        </w:rPr>
      </w:pPr>
      <w:r>
        <w:rPr>
          <w:rFonts w:hint="eastAsia" w:ascii="Arial" w:hAnsi="Arial" w:cs="Arial"/>
          <w:color w:val="000000"/>
          <w:kern w:val="0"/>
          <w:szCs w:val="21"/>
        </w:rPr>
        <w:t>接收时间：投标截止日期前每天</w:t>
      </w:r>
      <w:bookmarkStart w:id="0" w:name="_GoBack"/>
      <w:bookmarkEnd w:id="0"/>
      <w:r>
        <w:rPr>
          <w:rFonts w:hint="eastAsia" w:ascii="Arial" w:hAnsi="Arial" w:cs="Arial"/>
          <w:color w:val="000000"/>
          <w:kern w:val="0"/>
          <w:szCs w:val="21"/>
        </w:rPr>
        <w:t>8：00至11：30，13：30至16：30，节假日除外。</w:t>
      </w:r>
    </w:p>
    <w:p w14:paraId="1E2D0BE4">
      <w:pPr>
        <w:widowControl/>
        <w:shd w:val="clear" w:color="auto" w:fill="FFFFFF"/>
        <w:spacing w:line="360" w:lineRule="auto"/>
        <w:jc w:val="left"/>
        <w:rPr>
          <w:rFonts w:hint="eastAsia" w:ascii="Arial" w:hAnsi="Arial" w:cs="Arial"/>
          <w:color w:val="000000"/>
          <w:kern w:val="0"/>
          <w:szCs w:val="21"/>
        </w:rPr>
      </w:pPr>
      <w:r>
        <w:rPr>
          <w:rFonts w:hint="eastAsia" w:ascii="Arial" w:hAnsi="Arial" w:cs="Arial"/>
          <w:color w:val="000000"/>
          <w:kern w:val="0"/>
          <w:szCs w:val="21"/>
        </w:rPr>
        <w:t>投标联系人：</w:t>
      </w:r>
      <w:r>
        <w:rPr>
          <w:rFonts w:hint="eastAsia" w:ascii="Arial" w:hAnsi="Arial" w:cs="Arial"/>
          <w:color w:val="000000"/>
          <w:kern w:val="0"/>
          <w:szCs w:val="21"/>
          <w:lang w:val="en-US" w:eastAsia="zh-CN"/>
        </w:rPr>
        <w:t>侯燕州</w:t>
      </w:r>
      <w:r>
        <w:rPr>
          <w:rFonts w:hint="eastAsia" w:ascii="Arial" w:hAnsi="Arial" w:cs="Arial"/>
          <w:color w:val="000000"/>
          <w:kern w:val="0"/>
          <w:szCs w:val="21"/>
        </w:rPr>
        <w:t>（0512-58533020）</w:t>
      </w:r>
    </w:p>
    <w:p w14:paraId="566C30FF">
      <w:pPr>
        <w:widowControl/>
        <w:shd w:val="clear" w:color="auto" w:fill="FFFFFF"/>
        <w:spacing w:line="360" w:lineRule="auto"/>
        <w:jc w:val="left"/>
        <w:rPr>
          <w:rFonts w:hint="eastAsia" w:ascii="Arial" w:hAnsi="Arial" w:cs="Arial"/>
          <w:color w:val="000000"/>
          <w:kern w:val="0"/>
          <w:szCs w:val="21"/>
        </w:rPr>
      </w:pPr>
      <w:r>
        <w:rPr>
          <w:rFonts w:hint="eastAsia" w:ascii="Arial" w:hAnsi="Arial" w:cs="Arial"/>
          <w:color w:val="000000"/>
          <w:kern w:val="0"/>
          <w:szCs w:val="21"/>
        </w:rPr>
        <w:t xml:space="preserve">业务咨询联系人：安全环保部  </w:t>
      </w:r>
      <w:r>
        <w:rPr>
          <w:rFonts w:hint="eastAsia" w:ascii="Arial" w:hAnsi="Arial" w:cs="Arial"/>
          <w:color w:val="000000"/>
          <w:kern w:val="0"/>
          <w:szCs w:val="21"/>
          <w:lang w:val="en-US" w:eastAsia="zh-CN"/>
        </w:rPr>
        <w:t>刘丹</w:t>
      </w:r>
      <w:r>
        <w:rPr>
          <w:rFonts w:hint="eastAsia" w:ascii="Arial" w:hAnsi="Arial" w:cs="Arial"/>
          <w:color w:val="000000"/>
          <w:kern w:val="0"/>
          <w:szCs w:val="21"/>
        </w:rPr>
        <w:t xml:space="preserve"> （</w:t>
      </w:r>
      <w:r>
        <w:rPr>
          <w:rFonts w:hint="eastAsia" w:ascii="Arial" w:hAnsi="Arial" w:cs="Arial"/>
          <w:color w:val="000000"/>
          <w:kern w:val="0"/>
          <w:szCs w:val="21"/>
          <w:lang w:val="en-US" w:eastAsia="zh-CN"/>
        </w:rPr>
        <w:t>0512-58533009  18205066632</w:t>
      </w:r>
      <w:r>
        <w:rPr>
          <w:rFonts w:hint="eastAsia" w:ascii="Arial" w:hAnsi="Arial" w:cs="Arial"/>
          <w:color w:val="000000"/>
          <w:kern w:val="0"/>
          <w:szCs w:val="21"/>
        </w:rPr>
        <w:t>）</w:t>
      </w:r>
    </w:p>
    <w:p w14:paraId="6968A332">
      <w:pPr>
        <w:widowControl/>
        <w:shd w:val="clear" w:color="auto" w:fill="FFFFFF"/>
        <w:spacing w:line="360" w:lineRule="auto"/>
        <w:jc w:val="left"/>
        <w:rPr>
          <w:rFonts w:hint="eastAsia" w:ascii="Arial" w:hAnsi="Arial" w:cs="Arial"/>
          <w:color w:val="000000"/>
          <w:kern w:val="0"/>
          <w:szCs w:val="21"/>
        </w:rPr>
      </w:pPr>
    </w:p>
    <w:p w14:paraId="0C41AF67"/>
    <w:p w14:paraId="5FDC12EC"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AE618B">
    <w:pPr>
      <w:pStyle w:val="11"/>
      <w:tabs>
        <w:tab w:val="clear" w:pos="4153"/>
        <w:tab w:val="clear" w:pos="8306"/>
      </w:tabs>
    </w:pPr>
  </w:p>
  <w:p w14:paraId="5990D890">
    <w:pPr>
      <w:pStyle w:val="11"/>
      <w:tabs>
        <w:tab w:val="clear" w:pos="4153"/>
        <w:tab w:val="clear" w:pos="8306"/>
      </w:tabs>
      <w:rPr>
        <w:sz w:val="18"/>
      </w:rPr>
    </w:pPr>
    <w:r>
      <w:rPr>
        <w:sz w:val="18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_x0000_s20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1146E58">
                          <w:pPr>
                            <w:pStyle w:val="11"/>
                            <w:tabs>
                              <w:tab w:val="clear" w:pos="4153"/>
                              <w:tab w:val="clear" w:pos="8306"/>
                            </w:tabs>
                            <w:rPr>
                              <w:rFonts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  <w:p w14:paraId="2F31203D"/>
                      </w:txbxContent>
                    </wps:txbx>
                    <wps:bodyPr rot="0" vert="horz" wrap="square" lIns="0" tIns="0" rIns="0" bIns="0" anchor="t" anchorCtr="0"/>
                  </wps:wsp>
                </a:graphicData>
              </a:graphic>
            </wp:anchor>
          </w:drawing>
        </mc:Choice>
        <mc:Fallback>
          <w:pict>
            <v:rect id="_x0000_s2049" o:spid="_x0000_s1026" o:spt="1" style="position:absolute;left:0pt;margin-top:0pt;height:144pt;width:144pt;mso-position-horizontal:center;mso-position-horizontal-relative:margin;z-index:251659264;mso-width-relative:page;mso-height-relative:page;" filled="f" stroked="f" coordsize="21600,21600" o:gfxdata="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11146E58">
                    <w:pPr>
                      <w:pStyle w:val="11"/>
                      <w:tabs>
                        <w:tab w:val="clear" w:pos="4153"/>
                        <w:tab w:val="clear" w:pos="8306"/>
                      </w:tabs>
                      <w:rPr>
                        <w:rFonts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  <w:p w14:paraId="2F31203D"/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I4ZGNkZTBiNjMzYTY2OTdmZjcwNzZmMjBjZWIwNGUifQ=="/>
  </w:docVars>
  <w:rsids>
    <w:rsidRoot w:val="54481EAD"/>
    <w:rsid w:val="0D63596B"/>
    <w:rsid w:val="0D660C90"/>
    <w:rsid w:val="0DE325EB"/>
    <w:rsid w:val="123258EF"/>
    <w:rsid w:val="161D0664"/>
    <w:rsid w:val="18F57676"/>
    <w:rsid w:val="1CFA34AD"/>
    <w:rsid w:val="1E7E1EBC"/>
    <w:rsid w:val="20517888"/>
    <w:rsid w:val="257E1B4E"/>
    <w:rsid w:val="26D96A84"/>
    <w:rsid w:val="29B47C58"/>
    <w:rsid w:val="2C7456C4"/>
    <w:rsid w:val="310D6640"/>
    <w:rsid w:val="338B2C59"/>
    <w:rsid w:val="3FB82636"/>
    <w:rsid w:val="420870E4"/>
    <w:rsid w:val="429B3C85"/>
    <w:rsid w:val="43542E2A"/>
    <w:rsid w:val="486F44A0"/>
    <w:rsid w:val="494B0A69"/>
    <w:rsid w:val="4D671BE9"/>
    <w:rsid w:val="4E3E342F"/>
    <w:rsid w:val="50C11611"/>
    <w:rsid w:val="536F17F8"/>
    <w:rsid w:val="539710A0"/>
    <w:rsid w:val="5B857E0A"/>
    <w:rsid w:val="5FE61094"/>
    <w:rsid w:val="674563D5"/>
    <w:rsid w:val="6A5437CA"/>
    <w:rsid w:val="6B09436B"/>
    <w:rsid w:val="6B6A330C"/>
    <w:rsid w:val="6DF64B98"/>
    <w:rsid w:val="734957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theme="minorBidi"/>
      <w:kern w:val="2"/>
      <w:sz w:val="21"/>
      <w:szCs w:val="22"/>
      <w:lang w:val="en-US" w:eastAsia="zh-CN" w:bidi="ar-SA"/>
    </w:rPr>
  </w:style>
  <w:style w:type="paragraph" w:styleId="4">
    <w:name w:val="heading 2"/>
    <w:basedOn w:val="1"/>
    <w:next w:val="1"/>
    <w:autoRedefine/>
    <w:qFormat/>
    <w:uiPriority w:val="0"/>
    <w:pPr>
      <w:wordWrap w:val="0"/>
      <w:spacing w:after="160"/>
      <w:jc w:val="both"/>
      <w:outlineLvl w:val="1"/>
    </w:pPr>
    <w:rPr>
      <w:sz w:val="21"/>
      <w:lang w:val="en-US" w:eastAsia="zh-CN" w:bidi="ar-SA"/>
    </w:rPr>
  </w:style>
  <w:style w:type="character" w:default="1" w:styleId="10">
    <w:name w:val="Default Paragraph Font"/>
    <w:autoRedefine/>
    <w:semiHidden/>
    <w:qFormat/>
    <w:uiPriority w:val="0"/>
  </w:style>
  <w:style w:type="table" w:default="1" w:styleId="9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autoRedefine/>
    <w:unhideWhenUsed/>
    <w:qFormat/>
    <w:uiPriority w:val="99"/>
    <w:pPr>
      <w:spacing w:after="120"/>
    </w:pPr>
  </w:style>
  <w:style w:type="paragraph" w:customStyle="1" w:styleId="3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黑体" w:hAnsi="Calibri" w:eastAsia="黑体" w:cs="Times New Roman"/>
      <w:sz w:val="21"/>
      <w:szCs w:val="22"/>
      <w:lang w:val="en-US" w:eastAsia="zh-CN" w:bidi="ar-SA"/>
    </w:rPr>
  </w:style>
  <w:style w:type="paragraph" w:styleId="5">
    <w:name w:val="Body Text Indent"/>
    <w:basedOn w:val="1"/>
    <w:next w:val="6"/>
    <w:autoRedefine/>
    <w:qFormat/>
    <w:uiPriority w:val="0"/>
    <w:pPr>
      <w:spacing w:after="120"/>
      <w:ind w:left="420" w:leftChars="200"/>
    </w:pPr>
  </w:style>
  <w:style w:type="paragraph" w:styleId="6">
    <w:name w:val="envelope return"/>
    <w:basedOn w:val="1"/>
    <w:autoRedefine/>
    <w:qFormat/>
    <w:uiPriority w:val="0"/>
    <w:pPr>
      <w:snapToGrid w:val="0"/>
    </w:pPr>
    <w:rPr>
      <w:rFonts w:ascii="Arial" w:hAnsi="Arial"/>
    </w:rPr>
  </w:style>
  <w:style w:type="paragraph" w:styleId="7">
    <w:name w:val="Body Text First Indent"/>
    <w:basedOn w:val="2"/>
    <w:next w:val="4"/>
    <w:autoRedefine/>
    <w:qFormat/>
    <w:uiPriority w:val="0"/>
    <w:pPr>
      <w:ind w:firstLine="420" w:firstLineChars="100"/>
    </w:pPr>
  </w:style>
  <w:style w:type="paragraph" w:styleId="8">
    <w:name w:val="Body Text First Indent 2"/>
    <w:basedOn w:val="5"/>
    <w:next w:val="7"/>
    <w:autoRedefine/>
    <w:qFormat/>
    <w:uiPriority w:val="0"/>
    <w:pPr>
      <w:ind w:firstLine="420" w:firstLineChars="200"/>
    </w:pPr>
  </w:style>
  <w:style w:type="paragraph" w:customStyle="1" w:styleId="11">
    <w:name w:val="页脚1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1609</Words>
  <Characters>1713</Characters>
  <Lines>0</Lines>
  <Paragraphs>0</Paragraphs>
  <TotalTime>9</TotalTime>
  <ScaleCrop>false</ScaleCrop>
  <LinksUpToDate>false</LinksUpToDate>
  <CharactersWithSpaces>1729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2023-04-25T08:24:00Z</dcterms:created>
  <dc:creator>houyz</dc:creator>
  <cp:lastModifiedBy>houyz</cp:lastModifiedBy>
  <dcterms:modified xsi:type="dcterms:W3CDTF">2025-06-05T07:24:25Z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922D197990C04CA0BD83EA9C3E187A51_13</vt:lpwstr>
  </property>
  <property fmtid="{D5CDD505-2E9C-101B-9397-08002B2CF9AE}" pid="4" name="KSOTemplateDocerSaveRecord">
    <vt:lpwstr>eyJoZGlkIjoiOGI4ZGNkZTBiNjMzYTY2OTdmZjcwNzZmMjBjZWIwNGUiLCJ1c2VySWQiOiIyODYxNDcyMjAifQ==</vt:lpwstr>
  </property>
</Properties>
</file>